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rPr/>
      </w:pPr>
      <w:r>
        <w:rPr/>
        <w:t>Leigh and Lowton Sailing Club</w:t>
      </w:r>
    </w:p>
    <w:p>
      <w:pPr>
        <w:pStyle w:val="Heading1"/>
        <w:rPr/>
      </w:pPr>
      <w:r>
        <w:rPr/>
        <w:t xml:space="preserve">RS400 </w:t>
      </w:r>
      <w:r>
        <w:rPr/>
        <w:t>Winter Championships</w:t>
      </w:r>
      <w:r>
        <w:rPr/>
        <w:t xml:space="preserve"> </w:t>
      </w:r>
      <w:r>
        <w:rPr/>
        <w:t>19</w:t>
      </w:r>
      <w:r>
        <w:rPr>
          <w:vertAlign w:val="superscript"/>
        </w:rPr>
        <w:t>th</w:t>
      </w:r>
      <w:r>
        <w:rPr/>
        <w:t xml:space="preserve"> &amp; 20</w:t>
      </w:r>
      <w:r>
        <w:rPr>
          <w:vertAlign w:val="superscript"/>
        </w:rPr>
        <w:t>th</w:t>
      </w:r>
      <w:r>
        <w:rPr/>
        <w:t xml:space="preserve"> March 2022</w:t>
      </w:r>
    </w:p>
    <w:p>
      <w:pPr>
        <w:pStyle w:val="Heading1"/>
        <w:rPr/>
      </w:pPr>
      <w:r>
        <w:rPr/>
        <w:t>SAILING INSTRUCTIONS (SIs)</w:t>
      </w:r>
    </w:p>
    <w:p>
      <w:pPr>
        <w:pStyle w:val="Heading2"/>
        <w:ind w:left="397" w:hanging="397"/>
        <w:rPr/>
      </w:pPr>
      <w:r>
        <w:rPr/>
        <w:t xml:space="preserve">RULES </w:t>
      </w:r>
    </w:p>
    <w:p>
      <w:pPr>
        <w:pStyle w:val="Heading3"/>
        <w:ind w:left="397" w:hanging="397"/>
        <w:rPr/>
      </w:pPr>
      <w:r>
        <w:rPr/>
        <w:t xml:space="preserve">The event will be governed by the rules as defined in </w:t>
      </w:r>
      <w:r>
        <w:rPr>
          <w:i/>
        </w:rPr>
        <w:t>The Racing Rules of Sailing 2021-2024</w:t>
      </w:r>
      <w:r>
        <w:rPr/>
        <w:t>.</w:t>
      </w:r>
    </w:p>
    <w:p>
      <w:pPr>
        <w:pStyle w:val="Heading2"/>
        <w:ind w:left="397" w:hanging="397"/>
        <w:rPr/>
      </w:pPr>
      <w:r>
        <w:rPr/>
        <w:t xml:space="preserve">CHANGES TO SAILING INSTRUCTIONS </w:t>
      </w:r>
    </w:p>
    <w:p>
      <w:pPr>
        <w:pStyle w:val="Heading3"/>
        <w:ind w:left="397" w:hanging="397"/>
        <w:rPr/>
      </w:pPr>
      <w:r>
        <w:rPr/>
        <w:t xml:space="preserve">Any change to the sailing instructions will be posted at least 1 hour before any race that it will affect. </w:t>
      </w:r>
    </w:p>
    <w:p>
      <w:pPr>
        <w:pStyle w:val="Heading2"/>
        <w:ind w:left="397" w:hanging="397"/>
        <w:rPr/>
      </w:pPr>
      <w:r>
        <w:rPr/>
        <w:t xml:space="preserve">NOTICES TO COMPETITORS </w:t>
      </w:r>
    </w:p>
    <w:p>
      <w:pPr>
        <w:pStyle w:val="Heading3"/>
        <w:ind w:left="397" w:hanging="397"/>
        <w:rPr/>
      </w:pPr>
      <w:r>
        <w:rPr/>
        <w:t xml:space="preserve">Notices to competitors will be posted on the official notice board located in the club house. </w:t>
      </w:r>
    </w:p>
    <w:p>
      <w:pPr>
        <w:pStyle w:val="Heading2"/>
        <w:ind w:left="397" w:hanging="397"/>
        <w:rPr/>
      </w:pPr>
      <w:r>
        <w:rPr/>
        <w:t xml:space="preserve">SIGNALS MADE ASHORE </w:t>
      </w:r>
    </w:p>
    <w:p>
      <w:pPr>
        <w:pStyle w:val="Heading3"/>
        <w:ind w:left="397" w:hanging="397"/>
        <w:rPr/>
      </w:pPr>
      <w:r>
        <w:rPr/>
        <w:t>Signals made ashore will be displayed at the race box above the clubhouse.</w:t>
      </w:r>
    </w:p>
    <w:p>
      <w:pPr>
        <w:pStyle w:val="Heading3"/>
        <w:ind w:left="397" w:hanging="397"/>
        <w:rPr/>
      </w:pPr>
      <w:r>
        <w:rPr/>
        <w:t xml:space="preserve">When flag AP is displayed, ‘1 minute’ is replaced with ‘not less than 20 minutes’ in the race signal AP. </w:t>
      </w:r>
    </w:p>
    <w:p>
      <w:pPr>
        <w:pStyle w:val="Heading2"/>
        <w:ind w:left="397" w:hanging="397"/>
        <w:rPr/>
      </w:pPr>
      <w:r>
        <w:rPr/>
        <w:t xml:space="preserve">SCHEDULE OF RACES </w:t>
      </w:r>
    </w:p>
    <w:p>
      <w:pPr>
        <w:pStyle w:val="Heading3"/>
        <w:ind w:left="397" w:hanging="397"/>
        <w:rPr/>
      </w:pPr>
      <w:r>
        <w:rPr/>
        <w:t xml:space="preserve">Date of racing: </w:t>
      </w:r>
      <w:r>
        <w:rPr/>
        <w:t>19</w:t>
      </w:r>
      <w:r>
        <w:rPr>
          <w:vertAlign w:val="superscript"/>
        </w:rPr>
        <w:t>th</w:t>
      </w:r>
      <w:r>
        <w:rPr/>
        <w:t xml:space="preserve"> and 20</w:t>
      </w:r>
      <w:r>
        <w:rPr>
          <w:vertAlign w:val="superscript"/>
        </w:rPr>
        <w:t>th</w:t>
      </w:r>
      <w:r>
        <w:rPr/>
        <w:t xml:space="preserve"> March 2022</w:t>
      </w:r>
    </w:p>
    <w:p>
      <w:pPr>
        <w:pStyle w:val="Heading3"/>
        <w:ind w:left="397" w:hanging="397"/>
        <w:rPr/>
      </w:pPr>
      <w:r>
        <w:rPr/>
        <w:t xml:space="preserve">There will be </w:t>
      </w:r>
      <w:r>
        <w:rPr/>
        <w:t xml:space="preserve">6 </w:t>
      </w:r>
      <w:r>
        <w:rPr/>
        <w:t>races scheduled.</w:t>
      </w:r>
    </w:p>
    <w:p>
      <w:pPr>
        <w:pStyle w:val="Heading3"/>
        <w:ind w:left="397" w:hanging="397"/>
        <w:rPr/>
      </w:pPr>
      <w:r>
        <w:rPr/>
        <w:t xml:space="preserve">The scheduled time of the warning signal for the first race is 11:57 (Saturday) and </w:t>
      </w:r>
      <w:r>
        <w:rPr/>
        <w:t>10:27</w:t>
      </w:r>
      <w:r>
        <w:rPr/>
        <w:t xml:space="preserve"> (Sunday). </w:t>
      </w:r>
    </w:p>
    <w:p>
      <w:pPr>
        <w:pStyle w:val="Heading3"/>
        <w:ind w:left="397" w:hanging="397"/>
        <w:rPr/>
      </w:pPr>
      <w:r>
        <w:rPr/>
        <w:t>To alert boats that a race, or sequence of races will begin soon, the orange starting mark flag will be displayed on the committee boat with multiple sound signals, approximately 1 minute before the first warning signal.</w:t>
      </w:r>
    </w:p>
    <w:p>
      <w:pPr>
        <w:pStyle w:val="Heading2"/>
        <w:ind w:left="397" w:hanging="397"/>
        <w:rPr/>
      </w:pPr>
      <w:r>
        <w:rPr/>
        <w:t xml:space="preserve">CLASS FLAGS </w:t>
      </w:r>
    </w:p>
    <w:p>
      <w:pPr>
        <w:pStyle w:val="NoSpacing"/>
        <w:rPr/>
      </w:pPr>
      <w:r>
        <w:rPr/>
        <w:t xml:space="preserve">The Class flags are </w:t>
      </w:r>
    </w:p>
    <w:tbl>
      <w:tblPr>
        <w:tblStyle w:val="TableGrid"/>
        <w:tblW w:w="3544" w:type="dxa"/>
        <w:jc w:val="left"/>
        <w:tblInd w:w="709" w:type="dxa"/>
        <w:tblLayout w:type="fixed"/>
        <w:tblCellMar>
          <w:top w:w="0" w:type="dxa"/>
          <w:left w:w="108" w:type="dxa"/>
          <w:bottom w:w="0" w:type="dxa"/>
          <w:right w:w="108" w:type="dxa"/>
        </w:tblCellMar>
        <w:tblLook w:firstRow="1" w:noVBand="1" w:lastRow="0" w:firstColumn="1" w:lastColumn="0" w:noHBand="0" w:val="04a0"/>
      </w:tblPr>
      <w:tblGrid>
        <w:gridCol w:w="1984"/>
        <w:gridCol w:w="1559"/>
      </w:tblGrid>
      <w:tr>
        <w:trPr/>
        <w:tc>
          <w:tcPr>
            <w:tcW w:w="1984" w:type="dxa"/>
            <w:tcBorders>
              <w:top w:val="nil"/>
              <w:left w:val="nil"/>
              <w:bottom w:val="nil"/>
              <w:right w:val="nil"/>
            </w:tcBorders>
          </w:tcPr>
          <w:p>
            <w:pPr>
              <w:pStyle w:val="NoSpacing"/>
              <w:widowControl/>
              <w:spacing w:before="0" w:after="0"/>
              <w:ind w:left="0" w:hanging="0"/>
              <w:jc w:val="left"/>
              <w:rPr>
                <w:rFonts w:ascii="Calibri" w:hAnsi="Calibri" w:cs="Calibri" w:asciiTheme="minorHAnsi" w:cstheme="minorHAnsi" w:hAnsiTheme="minorHAnsi"/>
                <w:b/>
                <w:b/>
              </w:rPr>
            </w:pPr>
            <w:r>
              <w:rPr>
                <w:rFonts w:eastAsia="Times New Roman" w:cs="Calibri" w:cstheme="minorHAnsi"/>
                <w:b/>
                <w:kern w:val="0"/>
                <w:lang w:val="en-GB" w:eastAsia="en-GB" w:bidi="ar-SA"/>
              </w:rPr>
              <w:t>RS400</w:t>
            </w:r>
          </w:p>
        </w:tc>
        <w:tc>
          <w:tcPr>
            <w:tcW w:w="1559" w:type="dxa"/>
            <w:tcBorders>
              <w:top w:val="nil"/>
              <w:left w:val="nil"/>
              <w:bottom w:val="nil"/>
              <w:right w:val="nil"/>
            </w:tcBorders>
          </w:tcPr>
          <w:p>
            <w:pPr>
              <w:pStyle w:val="NoSpacing"/>
              <w:widowControl/>
              <w:spacing w:before="0" w:after="0"/>
              <w:ind w:left="0" w:hanging="0"/>
              <w:jc w:val="left"/>
              <w:rPr>
                <w:rFonts w:ascii="Calibri" w:hAnsi="Calibri" w:cs="Calibri" w:asciiTheme="minorHAnsi" w:cstheme="minorHAnsi" w:hAnsiTheme="minorHAnsi"/>
              </w:rPr>
            </w:pPr>
            <w:r>
              <w:rPr>
                <w:rFonts w:eastAsia="Times New Roman" w:cs="Calibri" w:cstheme="minorHAnsi"/>
                <w:kern w:val="0"/>
                <w:lang w:val="en-GB" w:eastAsia="en-GB" w:bidi="ar-SA"/>
              </w:rPr>
              <w:t>Numeral Pennant 1</w:t>
            </w:r>
          </w:p>
        </w:tc>
      </w:tr>
    </w:tbl>
    <w:p>
      <w:pPr>
        <w:pStyle w:val="Heading2"/>
        <w:ind w:left="397" w:hanging="397"/>
        <w:rPr/>
      </w:pPr>
      <w:r>
        <w:rPr/>
        <w:t xml:space="preserve">RACING AREAS </w:t>
      </w:r>
    </w:p>
    <w:p>
      <w:pPr>
        <w:pStyle w:val="NoSpacing"/>
        <w:rPr/>
      </w:pPr>
      <w:r>
        <w:rPr/>
        <w:t>SI Attachment A shows the location of the racing area.</w:t>
      </w:r>
    </w:p>
    <w:p>
      <w:pPr>
        <w:pStyle w:val="Heading2"/>
        <w:ind w:left="397" w:hanging="397"/>
        <w:rPr/>
      </w:pPr>
      <w:r>
        <w:rPr/>
        <w:t xml:space="preserve">THE COURSES </w:t>
      </w:r>
    </w:p>
    <w:p>
      <w:pPr>
        <w:pStyle w:val="Heading3"/>
        <w:ind w:left="397" w:hanging="397"/>
        <w:rPr/>
      </w:pPr>
      <w:r>
        <w:rPr/>
        <w:t>The diagram below in Attachment A shows the approximate positions of the marks; the distances and angles are not to scale. In addition to the marks shown, temporary marks A and Y (orange pillar buoys) may be used in any location.</w:t>
      </w:r>
    </w:p>
    <w:p>
      <w:pPr>
        <w:pStyle w:val="Heading3"/>
        <w:ind w:left="397" w:hanging="397"/>
        <w:rPr/>
      </w:pPr>
      <w:r>
        <w:rPr/>
        <w:t>No later than the warning signal, the course to be sailed will be displayed on the rear of the committee boat. A Red background indicates marks to be rounded to Port and a Green background indicates marks to be rounded to Starboard. The number of laps is not shown, see SI 12.2.</w:t>
      </w:r>
    </w:p>
    <w:p>
      <w:pPr>
        <w:pStyle w:val="Heading3"/>
        <w:ind w:left="397" w:hanging="397"/>
        <w:rPr/>
      </w:pPr>
      <w:r>
        <w:rPr/>
        <w:t xml:space="preserve">The finish line is a gate for each lap of the course.  Boats shall sail between the gate marks from the direction of the previous mark.  </w:t>
      </w:r>
    </w:p>
    <w:p>
      <w:pPr>
        <w:pStyle w:val="Heading3"/>
        <w:ind w:left="397" w:hanging="397"/>
        <w:rPr/>
      </w:pPr>
      <w:r>
        <w:rPr/>
        <w:t xml:space="preserve">Boats who do not pass through the finish line at the end of a lap will not be scored for that lap. </w:t>
      </w:r>
    </w:p>
    <w:p>
      <w:pPr>
        <w:pStyle w:val="Heading3"/>
        <w:ind w:left="397" w:hanging="397"/>
        <w:rPr/>
      </w:pPr>
      <w:r>
        <w:rPr/>
        <w:t xml:space="preserve">Boats who fail to sail the correct course will be scored as Did Not Finish without a hearing. </w:t>
      </w:r>
    </w:p>
    <w:p>
      <w:pPr>
        <w:pStyle w:val="Heading2"/>
        <w:ind w:left="397" w:hanging="397"/>
        <w:rPr/>
      </w:pPr>
      <w:r>
        <w:rPr/>
        <w:t xml:space="preserve">MARKS </w:t>
      </w:r>
    </w:p>
    <w:p>
      <w:pPr>
        <w:pStyle w:val="Heading3"/>
        <w:ind w:left="397" w:hanging="397"/>
        <w:rPr/>
      </w:pPr>
      <w:r>
        <w:rPr/>
        <w:t xml:space="preserve">Marks 1, 2, 3, 4, 5, 6, 7, 8, 9 and X are spherical buoys. Marks I, M and O will be white spherical buoys. Mark P will be a red spherical buoy. Marks Y and A will be orange pillar buoys, may have sponsor branding, and can be placed in any position on the lake. </w:t>
      </w:r>
    </w:p>
    <w:p>
      <w:pPr>
        <w:pStyle w:val="Heading3"/>
        <w:ind w:left="397" w:hanging="397"/>
        <w:rPr/>
      </w:pPr>
      <w:r>
        <w:rPr/>
        <w:t>The starting and finishing marks will be the committee boat at the starboard end and a dan buoy at the port end.</w:t>
      </w:r>
    </w:p>
    <w:p>
      <w:pPr>
        <w:pStyle w:val="Heading2"/>
        <w:ind w:left="397" w:hanging="397"/>
        <w:rPr/>
      </w:pPr>
      <w:r>
        <w:rPr/>
        <w:t xml:space="preserve">OBSTRUCTIONS </w:t>
      </w:r>
    </w:p>
    <w:p>
      <w:pPr>
        <w:pStyle w:val="NoSpacing"/>
        <w:rPr/>
      </w:pPr>
      <w:r>
        <w:rPr/>
        <w:t xml:space="preserve">The following areas are designated as obstructions: </w:t>
      </w:r>
    </w:p>
    <w:p>
      <w:pPr>
        <w:pStyle w:val="Heading3"/>
        <w:ind w:left="397" w:hanging="397"/>
        <w:rPr/>
      </w:pPr>
      <w:r>
        <w:rPr/>
        <w:t>The nature reserve beyond racing marks 3, 4, 5 and 6, which is marked with green buoys</w:t>
      </w:r>
    </w:p>
    <w:p>
      <w:pPr>
        <w:pStyle w:val="Heading3"/>
        <w:ind w:left="397" w:hanging="397"/>
        <w:rPr/>
      </w:pPr>
      <w:r>
        <w:rPr/>
        <w:t>In the proximity of fishermen’s equipment (approx. 30 metres from shore).</w:t>
      </w:r>
    </w:p>
    <w:p>
      <w:pPr>
        <w:pStyle w:val="Heading3"/>
        <w:ind w:left="397" w:hanging="397"/>
        <w:rPr/>
      </w:pPr>
      <w:r>
        <w:rPr/>
        <w:t>A yellow buoy near Mark 7 indicating the approximate position of an underwater obstruction which should be passed on the deep water side.</w:t>
      </w:r>
    </w:p>
    <w:p>
      <w:pPr>
        <w:pStyle w:val="Heading2"/>
        <w:ind w:left="397" w:hanging="397"/>
        <w:rPr/>
      </w:pPr>
      <w:r>
        <w:rPr/>
        <w:t xml:space="preserve">THE START </w:t>
      </w:r>
    </w:p>
    <w:p>
      <w:pPr>
        <w:pStyle w:val="Heading3"/>
        <w:ind w:left="397" w:hanging="397"/>
        <w:rPr/>
      </w:pPr>
      <w:r>
        <w:rPr/>
        <w:t xml:space="preserve">Races will be started as follows: </w:t>
      </w:r>
    </w:p>
    <w:p>
      <w:pPr>
        <w:pStyle w:val="NoSpacing"/>
        <w:rPr/>
      </w:pPr>
      <w:r>
        <w:rPr/>
        <w:t xml:space="preserve">Races shall be started by using the following signals. Times shall be taken from the visual signals; the absence of a sound signal shall be disregarded. </w:t>
      </w:r>
    </w:p>
    <w:tbl>
      <w:tblPr>
        <w:tblStyle w:val="TableGrid"/>
        <w:tblW w:w="4437" w:type="dxa"/>
        <w:jc w:val="left"/>
        <w:tblInd w:w="421" w:type="dxa"/>
        <w:tblLayout w:type="fixed"/>
        <w:tblCellMar>
          <w:top w:w="0" w:type="dxa"/>
          <w:left w:w="108" w:type="dxa"/>
          <w:bottom w:w="0" w:type="dxa"/>
          <w:right w:w="108" w:type="dxa"/>
        </w:tblCellMar>
        <w:tblLook w:firstRow="1" w:noVBand="1" w:lastRow="0" w:firstColumn="0" w:lastColumn="0" w:noHBand="1" w:val="0620"/>
      </w:tblPr>
      <w:tblGrid>
        <w:gridCol w:w="767"/>
        <w:gridCol w:w="1530"/>
        <w:gridCol w:w="704"/>
        <w:gridCol w:w="1435"/>
      </w:tblGrid>
      <w:tr>
        <w:trPr>
          <w:trHeight w:val="322" w:hRule="atLeast"/>
        </w:trPr>
        <w:tc>
          <w:tcPr>
            <w:tcW w:w="767" w:type="dxa"/>
            <w:tcBorders/>
          </w:tcPr>
          <w:p>
            <w:pPr>
              <w:pStyle w:val="Normal"/>
              <w:widowControl/>
              <w:spacing w:before="0" w:after="0"/>
              <w:ind w:left="0" w:hanging="0"/>
              <w:jc w:val="center"/>
              <w:rPr>
                <w:rFonts w:ascii="Calibri" w:hAnsi="Calibri" w:cs="Calibri" w:asciiTheme="minorHAnsi" w:cstheme="minorHAnsi" w:hAnsiTheme="minorHAnsi"/>
                <w:b/>
                <w:b/>
                <w:sz w:val="16"/>
                <w:szCs w:val="16"/>
              </w:rPr>
            </w:pPr>
            <w:r>
              <w:rPr>
                <w:rFonts w:eastAsia="Times New Roman" w:cs="Calibri" w:cstheme="minorHAnsi"/>
                <w:b/>
                <w:kern w:val="0"/>
                <w:sz w:val="16"/>
                <w:szCs w:val="16"/>
                <w:lang w:val="en-GB" w:eastAsia="en-GB" w:bidi="ar-SA"/>
              </w:rPr>
              <w:t>Minutes before start</w:t>
            </w:r>
          </w:p>
        </w:tc>
        <w:tc>
          <w:tcPr>
            <w:tcW w:w="1530" w:type="dxa"/>
            <w:tcBorders/>
          </w:tcPr>
          <w:p>
            <w:pPr>
              <w:pStyle w:val="Normal"/>
              <w:widowControl/>
              <w:spacing w:before="0" w:after="0"/>
              <w:ind w:left="0" w:hanging="0"/>
              <w:jc w:val="center"/>
              <w:rPr>
                <w:rFonts w:ascii="Calibri" w:hAnsi="Calibri" w:cs="Calibri" w:asciiTheme="minorHAnsi" w:cstheme="minorHAnsi" w:hAnsiTheme="minorHAnsi"/>
                <w:b/>
                <w:b/>
                <w:sz w:val="16"/>
                <w:szCs w:val="16"/>
              </w:rPr>
            </w:pPr>
            <w:r>
              <w:rPr>
                <w:rFonts w:eastAsia="Times New Roman" w:cs="Calibri" w:cstheme="minorHAnsi"/>
                <w:b/>
                <w:kern w:val="0"/>
                <w:sz w:val="16"/>
                <w:szCs w:val="16"/>
                <w:lang w:val="en-GB" w:eastAsia="en-GB" w:bidi="ar-SA"/>
              </w:rPr>
              <w:t>Visual Signal</w:t>
            </w:r>
          </w:p>
        </w:tc>
        <w:tc>
          <w:tcPr>
            <w:tcW w:w="704" w:type="dxa"/>
            <w:tcBorders/>
          </w:tcPr>
          <w:p>
            <w:pPr>
              <w:pStyle w:val="Normal"/>
              <w:widowControl/>
              <w:spacing w:before="0" w:after="0"/>
              <w:ind w:left="0" w:hanging="0"/>
              <w:jc w:val="center"/>
              <w:rPr>
                <w:rFonts w:ascii="Calibri" w:hAnsi="Calibri" w:cs="Calibri" w:asciiTheme="minorHAnsi" w:cstheme="minorHAnsi" w:hAnsiTheme="minorHAnsi"/>
                <w:b/>
                <w:b/>
                <w:sz w:val="16"/>
                <w:szCs w:val="16"/>
              </w:rPr>
            </w:pPr>
            <w:r>
              <w:rPr>
                <w:rFonts w:eastAsia="Times New Roman" w:cs="Calibri" w:cstheme="minorHAnsi"/>
                <w:b/>
                <w:kern w:val="0"/>
                <w:sz w:val="16"/>
                <w:szCs w:val="16"/>
                <w:lang w:val="en-GB" w:eastAsia="en-GB" w:bidi="ar-SA"/>
              </w:rPr>
              <w:t>Sound Signal</w:t>
            </w:r>
          </w:p>
        </w:tc>
        <w:tc>
          <w:tcPr>
            <w:tcW w:w="1435" w:type="dxa"/>
            <w:tcBorders/>
          </w:tcPr>
          <w:p>
            <w:pPr>
              <w:pStyle w:val="Normal"/>
              <w:widowControl/>
              <w:spacing w:before="0" w:after="0"/>
              <w:ind w:left="0" w:hanging="0"/>
              <w:jc w:val="center"/>
              <w:rPr>
                <w:rFonts w:ascii="Calibri" w:hAnsi="Calibri" w:cs="Calibri" w:asciiTheme="minorHAnsi" w:cstheme="minorHAnsi" w:hAnsiTheme="minorHAnsi"/>
                <w:b/>
                <w:b/>
                <w:sz w:val="16"/>
                <w:szCs w:val="16"/>
              </w:rPr>
            </w:pPr>
            <w:r>
              <w:rPr>
                <w:rFonts w:eastAsia="Times New Roman" w:cs="Calibri" w:cstheme="minorHAnsi"/>
                <w:b/>
                <w:kern w:val="0"/>
                <w:sz w:val="16"/>
                <w:szCs w:val="16"/>
                <w:lang w:val="en-GB" w:eastAsia="en-GB" w:bidi="ar-SA"/>
              </w:rPr>
              <w:t>Means</w:t>
            </w:r>
          </w:p>
        </w:tc>
      </w:tr>
      <w:tr>
        <w:trPr/>
        <w:tc>
          <w:tcPr>
            <w:tcW w:w="767" w:type="dxa"/>
            <w:tcBorders/>
          </w:tcPr>
          <w:p>
            <w:pPr>
              <w:pStyle w:val="Normal"/>
              <w:widowControl/>
              <w:spacing w:before="0" w:after="0"/>
              <w:ind w:left="0" w:hanging="0"/>
              <w:jc w:val="center"/>
              <w:rPr>
                <w:rFonts w:ascii="Calibri" w:hAnsi="Calibri" w:cs="Calibri" w:asciiTheme="minorHAnsi" w:cstheme="minorHAnsi" w:hAnsiTheme="minorHAnsi"/>
                <w:b/>
                <w:b/>
                <w:sz w:val="16"/>
                <w:szCs w:val="16"/>
              </w:rPr>
            </w:pPr>
            <w:r>
              <w:rPr>
                <w:rFonts w:eastAsia="Times New Roman" w:cs="Calibri" w:cstheme="minorHAnsi"/>
                <w:b/>
                <w:kern w:val="0"/>
                <w:sz w:val="16"/>
                <w:szCs w:val="16"/>
                <w:lang w:val="en-GB" w:eastAsia="en-GB" w:bidi="ar-SA"/>
              </w:rPr>
              <w:t>3</w:t>
            </w:r>
          </w:p>
        </w:tc>
        <w:tc>
          <w:tcPr>
            <w:tcW w:w="1530" w:type="dxa"/>
            <w:tcBorders/>
          </w:tcPr>
          <w:p>
            <w:pPr>
              <w:pStyle w:val="Normal"/>
              <w:widowControl/>
              <w:spacing w:before="0" w:after="0"/>
              <w:ind w:left="0" w:hanging="0"/>
              <w:jc w:val="left"/>
              <w:rPr>
                <w:rFonts w:ascii="Calibri" w:hAnsi="Calibri" w:cs="Calibri" w:asciiTheme="minorHAnsi" w:cstheme="minorHAnsi" w:hAnsiTheme="minorHAnsi"/>
                <w:sz w:val="16"/>
                <w:szCs w:val="16"/>
              </w:rPr>
            </w:pPr>
            <w:r>
              <w:rPr>
                <w:rFonts w:eastAsia="Times New Roman" w:cs="Calibri" w:cstheme="minorHAnsi"/>
                <w:kern w:val="0"/>
                <w:sz w:val="16"/>
                <w:szCs w:val="16"/>
                <w:lang w:val="en-GB" w:eastAsia="en-GB" w:bidi="ar-SA"/>
              </w:rPr>
              <w:t>Class flag</w:t>
            </w:r>
          </w:p>
        </w:tc>
        <w:tc>
          <w:tcPr>
            <w:tcW w:w="704" w:type="dxa"/>
            <w:tcBorders/>
          </w:tcPr>
          <w:p>
            <w:pPr>
              <w:pStyle w:val="Normal"/>
              <w:widowControl/>
              <w:spacing w:before="0" w:after="0"/>
              <w:ind w:left="0" w:hanging="0"/>
              <w:jc w:val="center"/>
              <w:rPr>
                <w:rFonts w:ascii="Calibri" w:hAnsi="Calibri" w:cs="Calibri" w:asciiTheme="minorHAnsi" w:cstheme="minorHAnsi" w:hAnsiTheme="minorHAnsi"/>
                <w:sz w:val="16"/>
                <w:szCs w:val="16"/>
              </w:rPr>
            </w:pPr>
            <w:r>
              <w:rPr>
                <w:rFonts w:eastAsia="Times New Roman" w:cs="Calibri" w:cstheme="minorHAnsi"/>
                <w:kern w:val="0"/>
                <w:sz w:val="16"/>
                <w:szCs w:val="16"/>
                <w:lang w:val="en-GB" w:eastAsia="en-GB" w:bidi="ar-SA"/>
              </w:rPr>
              <w:t>1</w:t>
            </w:r>
          </w:p>
        </w:tc>
        <w:tc>
          <w:tcPr>
            <w:tcW w:w="1435" w:type="dxa"/>
            <w:tcBorders/>
          </w:tcPr>
          <w:p>
            <w:pPr>
              <w:pStyle w:val="Normal"/>
              <w:widowControl/>
              <w:spacing w:before="0" w:after="0"/>
              <w:ind w:left="0" w:hanging="0"/>
              <w:jc w:val="left"/>
              <w:rPr>
                <w:rFonts w:ascii="Calibri" w:hAnsi="Calibri" w:cs="Calibri" w:asciiTheme="minorHAnsi" w:cstheme="minorHAnsi" w:hAnsiTheme="minorHAnsi"/>
                <w:sz w:val="16"/>
                <w:szCs w:val="16"/>
              </w:rPr>
            </w:pPr>
            <w:r>
              <w:rPr>
                <w:rFonts w:eastAsia="Times New Roman" w:cs="Calibri" w:cstheme="minorHAnsi"/>
                <w:kern w:val="0"/>
                <w:sz w:val="16"/>
                <w:szCs w:val="16"/>
                <w:lang w:val="en-GB" w:eastAsia="en-GB" w:bidi="ar-SA"/>
              </w:rPr>
              <w:t>Warning signal</w:t>
            </w:r>
          </w:p>
        </w:tc>
      </w:tr>
      <w:tr>
        <w:trPr/>
        <w:tc>
          <w:tcPr>
            <w:tcW w:w="767" w:type="dxa"/>
            <w:tcBorders/>
          </w:tcPr>
          <w:p>
            <w:pPr>
              <w:pStyle w:val="Normal"/>
              <w:widowControl/>
              <w:spacing w:before="0" w:after="0"/>
              <w:ind w:left="0" w:hanging="0"/>
              <w:jc w:val="center"/>
              <w:rPr>
                <w:rFonts w:ascii="Calibri" w:hAnsi="Calibri" w:cs="Calibri" w:asciiTheme="minorHAnsi" w:cstheme="minorHAnsi" w:hAnsiTheme="minorHAnsi"/>
                <w:b/>
                <w:b/>
                <w:sz w:val="16"/>
                <w:szCs w:val="16"/>
              </w:rPr>
            </w:pPr>
            <w:r>
              <w:rPr>
                <w:rFonts w:eastAsia="Times New Roman" w:cs="Calibri" w:cstheme="minorHAnsi"/>
                <w:b/>
                <w:kern w:val="0"/>
                <w:sz w:val="16"/>
                <w:szCs w:val="16"/>
                <w:lang w:val="en-GB" w:eastAsia="en-GB" w:bidi="ar-SA"/>
              </w:rPr>
              <w:t>2</w:t>
            </w:r>
          </w:p>
        </w:tc>
        <w:tc>
          <w:tcPr>
            <w:tcW w:w="1530" w:type="dxa"/>
            <w:tcBorders/>
          </w:tcPr>
          <w:p>
            <w:pPr>
              <w:pStyle w:val="Normal"/>
              <w:widowControl/>
              <w:spacing w:before="0" w:after="0"/>
              <w:ind w:left="0" w:hanging="0"/>
              <w:jc w:val="left"/>
              <w:rPr>
                <w:rFonts w:ascii="Calibri" w:hAnsi="Calibri" w:cs="Calibri" w:asciiTheme="minorHAnsi" w:cstheme="minorHAnsi" w:hAnsiTheme="minorHAnsi"/>
                <w:sz w:val="16"/>
                <w:szCs w:val="16"/>
              </w:rPr>
            </w:pPr>
            <w:r>
              <w:rPr>
                <w:rFonts w:eastAsia="Times New Roman" w:cs="Calibri" w:cstheme="minorHAnsi"/>
                <w:kern w:val="0"/>
                <w:sz w:val="16"/>
                <w:szCs w:val="16"/>
                <w:lang w:val="en-GB" w:eastAsia="en-GB" w:bidi="ar-SA"/>
              </w:rPr>
              <w:t>P, I, U, or black flag</w:t>
            </w:r>
          </w:p>
        </w:tc>
        <w:tc>
          <w:tcPr>
            <w:tcW w:w="704" w:type="dxa"/>
            <w:tcBorders/>
          </w:tcPr>
          <w:p>
            <w:pPr>
              <w:pStyle w:val="Normal"/>
              <w:widowControl/>
              <w:spacing w:before="0" w:after="0"/>
              <w:ind w:left="0" w:hanging="0"/>
              <w:jc w:val="center"/>
              <w:rPr>
                <w:rFonts w:ascii="Calibri" w:hAnsi="Calibri" w:cs="Calibri" w:asciiTheme="minorHAnsi" w:cstheme="minorHAnsi" w:hAnsiTheme="minorHAnsi"/>
                <w:sz w:val="16"/>
                <w:szCs w:val="16"/>
              </w:rPr>
            </w:pPr>
            <w:r>
              <w:rPr>
                <w:rFonts w:eastAsia="Times New Roman" w:cs="Calibri" w:cstheme="minorHAnsi"/>
                <w:kern w:val="0"/>
                <w:sz w:val="16"/>
                <w:szCs w:val="16"/>
                <w:lang w:val="en-GB" w:eastAsia="en-GB" w:bidi="ar-SA"/>
              </w:rPr>
              <w:t>1</w:t>
            </w:r>
          </w:p>
        </w:tc>
        <w:tc>
          <w:tcPr>
            <w:tcW w:w="1435" w:type="dxa"/>
            <w:tcBorders/>
          </w:tcPr>
          <w:p>
            <w:pPr>
              <w:pStyle w:val="Normal"/>
              <w:widowControl/>
              <w:spacing w:before="0" w:after="0"/>
              <w:ind w:left="0" w:hanging="0"/>
              <w:jc w:val="left"/>
              <w:rPr>
                <w:rFonts w:ascii="Calibri" w:hAnsi="Calibri" w:cs="Calibri" w:asciiTheme="minorHAnsi" w:cstheme="minorHAnsi" w:hAnsiTheme="minorHAnsi"/>
                <w:sz w:val="16"/>
                <w:szCs w:val="16"/>
              </w:rPr>
            </w:pPr>
            <w:r>
              <w:rPr>
                <w:rFonts w:eastAsia="Times New Roman" w:cs="Calibri" w:cstheme="minorHAnsi"/>
                <w:kern w:val="0"/>
                <w:sz w:val="16"/>
                <w:szCs w:val="16"/>
                <w:lang w:val="en-GB" w:eastAsia="en-GB" w:bidi="ar-SA"/>
              </w:rPr>
              <w:t>Preparatory signal</w:t>
            </w:r>
          </w:p>
        </w:tc>
      </w:tr>
      <w:tr>
        <w:trPr/>
        <w:tc>
          <w:tcPr>
            <w:tcW w:w="767" w:type="dxa"/>
            <w:tcBorders/>
          </w:tcPr>
          <w:p>
            <w:pPr>
              <w:pStyle w:val="Normal"/>
              <w:widowControl/>
              <w:spacing w:before="0" w:after="0"/>
              <w:ind w:left="0" w:hanging="0"/>
              <w:jc w:val="center"/>
              <w:rPr>
                <w:rFonts w:ascii="Calibri" w:hAnsi="Calibri" w:cs="Calibri" w:asciiTheme="minorHAnsi" w:cstheme="minorHAnsi" w:hAnsiTheme="minorHAnsi"/>
                <w:b/>
                <w:b/>
                <w:sz w:val="16"/>
                <w:szCs w:val="16"/>
              </w:rPr>
            </w:pPr>
            <w:r>
              <w:rPr>
                <w:rFonts w:eastAsia="Times New Roman" w:cs="Calibri" w:cstheme="minorHAnsi"/>
                <w:b/>
                <w:kern w:val="0"/>
                <w:sz w:val="16"/>
                <w:szCs w:val="16"/>
                <w:lang w:val="en-GB" w:eastAsia="en-GB" w:bidi="ar-SA"/>
              </w:rPr>
              <w:t>1</w:t>
            </w:r>
          </w:p>
        </w:tc>
        <w:tc>
          <w:tcPr>
            <w:tcW w:w="1530" w:type="dxa"/>
            <w:tcBorders/>
          </w:tcPr>
          <w:p>
            <w:pPr>
              <w:pStyle w:val="Normal"/>
              <w:widowControl/>
              <w:spacing w:before="0" w:after="0"/>
              <w:ind w:left="0" w:hanging="0"/>
              <w:jc w:val="left"/>
              <w:rPr>
                <w:rFonts w:ascii="Calibri" w:hAnsi="Calibri" w:cs="Calibri" w:asciiTheme="minorHAnsi" w:cstheme="minorHAnsi" w:hAnsiTheme="minorHAnsi"/>
                <w:sz w:val="16"/>
                <w:szCs w:val="16"/>
              </w:rPr>
            </w:pPr>
            <w:r>
              <w:rPr>
                <w:rFonts w:eastAsia="Times New Roman" w:cs="Calibri" w:cstheme="minorHAnsi"/>
                <w:kern w:val="0"/>
                <w:sz w:val="16"/>
                <w:szCs w:val="16"/>
                <w:lang w:val="en-GB" w:eastAsia="en-GB" w:bidi="ar-SA"/>
              </w:rPr>
              <w:t>Preparatory flag removed</w:t>
            </w:r>
          </w:p>
        </w:tc>
        <w:tc>
          <w:tcPr>
            <w:tcW w:w="704" w:type="dxa"/>
            <w:tcBorders/>
          </w:tcPr>
          <w:p>
            <w:pPr>
              <w:pStyle w:val="Normal"/>
              <w:widowControl/>
              <w:spacing w:before="0" w:after="0"/>
              <w:ind w:left="0" w:hanging="0"/>
              <w:jc w:val="center"/>
              <w:rPr>
                <w:rFonts w:ascii="Calibri" w:hAnsi="Calibri" w:cs="Calibri" w:asciiTheme="minorHAnsi" w:cstheme="minorHAnsi" w:hAnsiTheme="minorHAnsi"/>
                <w:sz w:val="16"/>
                <w:szCs w:val="16"/>
              </w:rPr>
            </w:pPr>
            <w:r>
              <w:rPr>
                <w:rFonts w:eastAsia="Times New Roman" w:cs="Calibri" w:cstheme="minorHAnsi"/>
                <w:kern w:val="0"/>
                <w:sz w:val="16"/>
                <w:szCs w:val="16"/>
                <w:lang w:val="en-GB" w:eastAsia="en-GB" w:bidi="ar-SA"/>
              </w:rPr>
              <w:t>1</w:t>
            </w:r>
          </w:p>
        </w:tc>
        <w:tc>
          <w:tcPr>
            <w:tcW w:w="1435" w:type="dxa"/>
            <w:tcBorders/>
          </w:tcPr>
          <w:p>
            <w:pPr>
              <w:pStyle w:val="Normal"/>
              <w:widowControl/>
              <w:spacing w:before="0" w:after="0"/>
              <w:ind w:left="0" w:hanging="0"/>
              <w:jc w:val="left"/>
              <w:rPr>
                <w:rFonts w:ascii="Calibri" w:hAnsi="Calibri" w:cs="Calibri" w:asciiTheme="minorHAnsi" w:cstheme="minorHAnsi" w:hAnsiTheme="minorHAnsi"/>
                <w:sz w:val="16"/>
                <w:szCs w:val="16"/>
              </w:rPr>
            </w:pPr>
            <w:r>
              <w:rPr>
                <w:rFonts w:eastAsia="Times New Roman" w:cs="Calibri" w:cstheme="minorHAnsi"/>
                <w:kern w:val="0"/>
                <w:sz w:val="16"/>
                <w:szCs w:val="16"/>
                <w:lang w:val="en-GB" w:eastAsia="en-GB" w:bidi="ar-SA"/>
              </w:rPr>
              <w:t>One-minute</w:t>
            </w:r>
          </w:p>
        </w:tc>
      </w:tr>
      <w:tr>
        <w:trPr/>
        <w:tc>
          <w:tcPr>
            <w:tcW w:w="767" w:type="dxa"/>
            <w:tcBorders/>
          </w:tcPr>
          <w:p>
            <w:pPr>
              <w:pStyle w:val="Normal"/>
              <w:widowControl/>
              <w:spacing w:before="0" w:after="0"/>
              <w:ind w:left="0" w:hanging="0"/>
              <w:jc w:val="center"/>
              <w:rPr>
                <w:rFonts w:ascii="Calibri" w:hAnsi="Calibri" w:cs="Calibri" w:asciiTheme="minorHAnsi" w:cstheme="minorHAnsi" w:hAnsiTheme="minorHAnsi"/>
                <w:b/>
                <w:b/>
                <w:sz w:val="16"/>
                <w:szCs w:val="16"/>
              </w:rPr>
            </w:pPr>
            <w:r>
              <w:rPr>
                <w:rFonts w:eastAsia="Times New Roman" w:cs="Calibri" w:cstheme="minorHAnsi"/>
                <w:b/>
                <w:kern w:val="0"/>
                <w:sz w:val="16"/>
                <w:szCs w:val="16"/>
                <w:lang w:val="en-GB" w:eastAsia="en-GB" w:bidi="ar-SA"/>
              </w:rPr>
              <w:t>0</w:t>
            </w:r>
          </w:p>
        </w:tc>
        <w:tc>
          <w:tcPr>
            <w:tcW w:w="1530" w:type="dxa"/>
            <w:tcBorders/>
          </w:tcPr>
          <w:p>
            <w:pPr>
              <w:pStyle w:val="Normal"/>
              <w:widowControl/>
              <w:spacing w:before="0" w:after="0"/>
              <w:ind w:left="0" w:hanging="0"/>
              <w:jc w:val="left"/>
              <w:rPr>
                <w:rFonts w:ascii="Calibri" w:hAnsi="Calibri" w:cs="Calibri" w:asciiTheme="minorHAnsi" w:cstheme="minorHAnsi" w:hAnsiTheme="minorHAnsi"/>
                <w:sz w:val="16"/>
                <w:szCs w:val="16"/>
              </w:rPr>
            </w:pPr>
            <w:r>
              <w:rPr>
                <w:rFonts w:eastAsia="Times New Roman" w:cs="Calibri" w:cstheme="minorHAnsi"/>
                <w:kern w:val="0"/>
                <w:sz w:val="16"/>
                <w:szCs w:val="16"/>
                <w:lang w:val="en-GB" w:eastAsia="en-GB" w:bidi="ar-SA"/>
              </w:rPr>
              <w:t>Class flag removed</w:t>
            </w:r>
          </w:p>
        </w:tc>
        <w:tc>
          <w:tcPr>
            <w:tcW w:w="704" w:type="dxa"/>
            <w:tcBorders/>
          </w:tcPr>
          <w:p>
            <w:pPr>
              <w:pStyle w:val="Normal"/>
              <w:widowControl/>
              <w:spacing w:before="0" w:after="0"/>
              <w:ind w:left="0" w:hanging="0"/>
              <w:jc w:val="center"/>
              <w:rPr>
                <w:rFonts w:ascii="Calibri" w:hAnsi="Calibri" w:cs="Calibri" w:asciiTheme="minorHAnsi" w:cstheme="minorHAnsi" w:hAnsiTheme="minorHAnsi"/>
                <w:sz w:val="16"/>
                <w:szCs w:val="16"/>
              </w:rPr>
            </w:pPr>
            <w:r>
              <w:rPr>
                <w:rFonts w:eastAsia="Times New Roman" w:cs="Calibri" w:cstheme="minorHAnsi"/>
                <w:kern w:val="0"/>
                <w:sz w:val="16"/>
                <w:szCs w:val="16"/>
                <w:lang w:val="en-GB" w:eastAsia="en-GB" w:bidi="ar-SA"/>
              </w:rPr>
              <w:t>1</w:t>
            </w:r>
          </w:p>
        </w:tc>
        <w:tc>
          <w:tcPr>
            <w:tcW w:w="1435" w:type="dxa"/>
            <w:tcBorders/>
          </w:tcPr>
          <w:p>
            <w:pPr>
              <w:pStyle w:val="Normal"/>
              <w:widowControl/>
              <w:spacing w:before="0" w:after="0"/>
              <w:ind w:left="0" w:hanging="0"/>
              <w:jc w:val="left"/>
              <w:rPr>
                <w:rFonts w:ascii="Calibri" w:hAnsi="Calibri" w:cs="Calibri" w:asciiTheme="minorHAnsi" w:cstheme="minorHAnsi" w:hAnsiTheme="minorHAnsi"/>
                <w:sz w:val="16"/>
                <w:szCs w:val="16"/>
              </w:rPr>
            </w:pPr>
            <w:r>
              <w:rPr>
                <w:rFonts w:eastAsia="Times New Roman" w:cs="Calibri" w:cstheme="minorHAnsi"/>
                <w:kern w:val="0"/>
                <w:sz w:val="16"/>
                <w:szCs w:val="16"/>
                <w:lang w:val="en-GB" w:eastAsia="en-GB" w:bidi="ar-SA"/>
              </w:rPr>
              <w:t>Starting signal</w:t>
            </w:r>
          </w:p>
        </w:tc>
      </w:tr>
    </w:tbl>
    <w:p>
      <w:pPr>
        <w:pStyle w:val="NoSpacing"/>
        <w:rPr/>
      </w:pPr>
      <w:r>
        <w:rPr/>
        <w:t>The warning signal for each succeeding Class shall be made with the starting signal of the preceding class.</w:t>
      </w:r>
    </w:p>
    <w:p>
      <w:pPr>
        <w:pStyle w:val="NoSpacing"/>
        <w:rPr/>
      </w:pPr>
      <w:r>
        <w:rPr/>
        <w:t>The start sequence shall be in ascending Numeral Pennant order.</w:t>
      </w:r>
    </w:p>
    <w:p>
      <w:pPr>
        <w:pStyle w:val="NoSpacing"/>
        <w:rPr/>
      </w:pPr>
      <w:r>
        <w:rPr/>
        <w:t>This changes RRS 26.</w:t>
      </w:r>
    </w:p>
    <w:p>
      <w:pPr>
        <w:pStyle w:val="Heading3"/>
        <w:ind w:left="397" w:hanging="397"/>
        <w:rPr/>
      </w:pPr>
      <w:r>
        <w:rPr/>
        <w:t xml:space="preserve">The starting line is between staffs displaying orange flags on the starting marks. </w:t>
      </w:r>
    </w:p>
    <w:p>
      <w:pPr>
        <w:pStyle w:val="Heading3"/>
        <w:ind w:left="397" w:hanging="397"/>
        <w:rPr/>
      </w:pPr>
      <w:r>
        <w:rPr/>
        <w:t xml:space="preserve">Boats whose warning signal has not been made shall avoid the starting area during the start sequence for other races. </w:t>
      </w:r>
    </w:p>
    <w:p>
      <w:pPr>
        <w:pStyle w:val="Heading3"/>
        <w:ind w:left="397" w:hanging="397"/>
        <w:rPr/>
      </w:pPr>
      <w:r>
        <w:rPr/>
        <w:t>A boat starting later than 3 minutes after her starting signal will be scored Did Not Start without a hearing. This changes RRS A5.1, A5.2 and A5.3</w:t>
      </w:r>
    </w:p>
    <w:p>
      <w:pPr>
        <w:pStyle w:val="Heading3"/>
        <w:ind w:left="397" w:hanging="397"/>
        <w:rPr/>
      </w:pPr>
      <w:r>
        <w:rPr/>
        <w:t xml:space="preserve">When a General Recall is signalled and there are no other Classes which have not yet started, the First Substitute for this General Recall will be removed after 1 minute, at the warning signal for this Class. This changes RRS 29.2 </w:t>
      </w:r>
    </w:p>
    <w:p>
      <w:pPr>
        <w:pStyle w:val="Heading3"/>
        <w:ind w:left="397" w:hanging="397"/>
        <w:rPr/>
      </w:pPr>
      <w:r>
        <w:rPr/>
        <w:t>When a General Recall is signalled for any class, except as detailed in SI 11.5, that Class will start after all other Classes. The First Substitute for this General Recall will be removed at the preparatory signal for the subsequent Class. The warning signal for a Class subject to a General Recall will be made with the starting signal of the preceding Class. This changes RRS 29.2</w:t>
      </w:r>
    </w:p>
    <w:p>
      <w:pPr>
        <w:pStyle w:val="Heading3"/>
        <w:ind w:left="397" w:hanging="397"/>
        <w:rPr/>
      </w:pPr>
      <w:r>
        <w:rPr/>
        <w:t>For a General Recalled Black flag start, boats that were deemed to be BFD, will not be displayed and may restart as normal, but will be awarded a BFD in their results. It is requested that boats do not restart if it was clear that they were a premature starter.  This changes RRS 30.4.</w:t>
      </w:r>
    </w:p>
    <w:p>
      <w:pPr>
        <w:pStyle w:val="Heading2"/>
        <w:ind w:left="397" w:hanging="397"/>
        <w:rPr/>
      </w:pPr>
      <w:bookmarkStart w:id="0" w:name="_GoBack"/>
      <w:bookmarkEnd w:id="0"/>
      <w:r>
        <w:rPr/>
        <w:t>PENALTY SYSTEM</w:t>
      </w:r>
    </w:p>
    <w:p>
      <w:pPr>
        <w:pStyle w:val="Heading3"/>
        <w:ind w:left="397" w:hanging="397"/>
        <w:rPr/>
      </w:pPr>
      <w:r>
        <w:rPr/>
        <w:t xml:space="preserve">Rule 44.1 is changed so that the two-turns penalty is replaced by one-turn penalty. </w:t>
      </w:r>
    </w:p>
    <w:p>
      <w:pPr>
        <w:pStyle w:val="Heading3"/>
        <w:ind w:left="397" w:hanging="397"/>
        <w:rPr/>
      </w:pPr>
      <w:r>
        <w:rPr/>
        <w:t>Boats may touch a mark other than the starting or finishing mark. This changes RRS 31</w:t>
      </w:r>
    </w:p>
    <w:p>
      <w:pPr>
        <w:pStyle w:val="Heading2"/>
        <w:ind w:left="397" w:hanging="397"/>
        <w:rPr/>
      </w:pPr>
      <w:r>
        <w:rPr/>
        <w:t xml:space="preserve">THE FINISH </w:t>
      </w:r>
    </w:p>
    <w:p>
      <w:pPr>
        <w:pStyle w:val="Heading3"/>
        <w:ind w:left="397" w:hanging="397"/>
        <w:rPr/>
      </w:pPr>
      <w:r>
        <w:rPr/>
        <w:t xml:space="preserve">The finishing line is between staffs displaying orange flags on the finishing marks. </w:t>
      </w:r>
    </w:p>
    <w:p>
      <w:pPr>
        <w:pStyle w:val="Heading3"/>
        <w:ind w:left="397" w:hanging="397"/>
        <w:rPr/>
      </w:pPr>
      <w:r>
        <w:rPr/>
        <w:t>The race committee will signal that the finish line will shortly be opened by displaying an “S” Flag on the Committee Boat with two sound signals at approximately 50 minutes after the first start signal.  Once indicated, every boat subsequently completing their current lap will be finished (irrespective of the number of laps completed) and then average lap times will be calculated.  This modifies RRS “Race Signals” for the first finisher.</w:t>
      </w:r>
    </w:p>
    <w:p>
      <w:pPr>
        <w:pStyle w:val="Heading2"/>
        <w:ind w:left="397" w:hanging="397"/>
        <w:rPr/>
      </w:pPr>
      <w:r>
        <w:rPr/>
        <w:t>TIME LIMITS AND TARGET TIMES</w:t>
      </w:r>
    </w:p>
    <w:p>
      <w:pPr>
        <w:pStyle w:val="Heading3"/>
        <w:ind w:left="397" w:hanging="397"/>
        <w:rPr/>
      </w:pPr>
      <w:r>
        <w:rPr/>
        <w:t>The Race Time Limit shall be 75 minutes for the first boat to finish. If the leading boat finishes within that limit then the time limit will be extended by a further 30 minutes. Boats failing to finish within the extended time limit shall be scored as DNF. This changes RRS 35, A5.1, A5.2, A5.3 and A10. Boats finished in this way will be advised of the fact by a safety boat and should stop racing thereafter.</w:t>
      </w:r>
    </w:p>
    <w:p>
      <w:pPr>
        <w:pStyle w:val="Heading3"/>
        <w:ind w:left="397" w:hanging="397"/>
        <w:rPr/>
      </w:pPr>
      <w:r>
        <w:rPr/>
        <w:t>Failure to meet the Target Time in SI 12.2 will not be grounds for Redress. This changes RRS 62.1(a).</w:t>
      </w:r>
    </w:p>
    <w:p>
      <w:pPr>
        <w:pStyle w:val="Heading2"/>
        <w:ind w:left="397" w:hanging="397"/>
        <w:rPr/>
      </w:pPr>
      <w:r>
        <w:rPr/>
        <w:t xml:space="preserve">HEARING REQUESTS </w:t>
      </w:r>
    </w:p>
    <w:p>
      <w:pPr>
        <w:pStyle w:val="Heading3"/>
        <w:ind w:left="397" w:hanging="397"/>
        <w:rPr/>
      </w:pPr>
      <w:r>
        <w:rPr/>
        <w:t>Hearing request forms are available at the race control box. Protests and requests for redress shall be delivered there within the appropriate time limit.</w:t>
      </w:r>
    </w:p>
    <w:p>
      <w:pPr>
        <w:pStyle w:val="Heading3"/>
        <w:ind w:left="397" w:hanging="397"/>
        <w:rPr/>
      </w:pPr>
      <w:r>
        <w:rPr/>
        <w:t xml:space="preserve">The Protest Time Limit is 30 minutes after the last boat has finished the last race of the day or the race committee signals no more racing today, whichever is later. </w:t>
      </w:r>
    </w:p>
    <w:p>
      <w:pPr>
        <w:pStyle w:val="Heading3"/>
        <w:ind w:left="397" w:hanging="397"/>
        <w:rPr/>
      </w:pPr>
      <w:r>
        <w:rPr/>
        <w:t>RRS62.2 is changed as follows: A request shall be in writing and identify the reason for making it. If the request is based on an incident in the racing area, it shall be delivered to the race office within the protest time limit. Other requests shall be delivered as soon as reasonably possible after learning of the reasons for making the request. The protest committee shall extend the time if there is good reason to do so. No red flag is required.</w:t>
      </w:r>
    </w:p>
    <w:p>
      <w:pPr>
        <w:pStyle w:val="Heading3"/>
        <w:ind w:left="397" w:hanging="397"/>
        <w:rPr/>
      </w:pPr>
      <w:r>
        <w:rPr/>
        <w:t xml:space="preserve">Notices will be posted no later than 30 minutes after the protest time limit to inform competitors of hearings in which they are parties or named as witnesses. Hearings will be held in the race control box, or other suitable venue. </w:t>
      </w:r>
    </w:p>
    <w:p>
      <w:pPr>
        <w:pStyle w:val="Heading3"/>
        <w:ind w:left="397" w:hanging="397"/>
        <w:rPr/>
      </w:pPr>
      <w:r>
        <w:rPr/>
        <w:t xml:space="preserve">Under the provision of the RYA racing charter, competitors may request an advisory hearing (within the protest time limit, no hearing form required).  If an advisory hearing is requested the protest time limit (if required) will be extended to 15 minutes after completion of the advisory hearing.  The outcome of the advisory hearing can be as follows: </w:t>
      </w:r>
    </w:p>
    <w:p>
      <w:pPr>
        <w:pStyle w:val="NoSpacing"/>
        <w:rPr/>
      </w:pPr>
      <w:r>
        <w:rPr/>
        <w:t>1.</w:t>
        <w:tab/>
        <w:t xml:space="preserve">No rule infringement found, no penalties required, no protest lodged. </w:t>
      </w:r>
    </w:p>
    <w:p>
      <w:pPr>
        <w:pStyle w:val="NoSpacing"/>
        <w:rPr/>
      </w:pPr>
      <w:r>
        <w:rPr/>
        <w:t>2.</w:t>
        <w:tab/>
        <w:t xml:space="preserve">Parties agree to an exoneration penalty equal to 30% of the boats that started the affected race added to the finishing place (or a minimum of 3 places), but not worse than a DNF (as described in RRS 44.3 c). </w:t>
      </w:r>
    </w:p>
    <w:p>
      <w:pPr>
        <w:pStyle w:val="NoSpacing"/>
        <w:rPr/>
      </w:pPr>
      <w:r>
        <w:rPr/>
        <w:t>3.</w:t>
        <w:tab/>
        <w:t>No resolution found, formal protest lodged.</w:t>
      </w:r>
    </w:p>
    <w:p>
      <w:pPr>
        <w:pStyle w:val="Heading2"/>
        <w:ind w:left="397" w:hanging="397"/>
        <w:rPr/>
      </w:pPr>
      <w:r>
        <w:rPr/>
        <w:t>SAFETY REGULATIONS</w:t>
      </w:r>
    </w:p>
    <w:p>
      <w:pPr>
        <w:pStyle w:val="Heading3"/>
        <w:ind w:left="397" w:hanging="397"/>
        <w:rPr/>
      </w:pPr>
      <w:r>
        <w:rPr/>
        <w:t xml:space="preserve">A boat that retires from a race shall notify the race committee at the first reasonable opportunity. </w:t>
      </w:r>
    </w:p>
    <w:p>
      <w:pPr>
        <w:pStyle w:val="Heading2"/>
        <w:ind w:left="397" w:hanging="397"/>
        <w:rPr/>
      </w:pPr>
      <w:r>
        <w:rPr/>
        <w:t>REPLACEMENT OF CREW OR EQUIPMENT</w:t>
      </w:r>
    </w:p>
    <w:p>
      <w:pPr>
        <w:pStyle w:val="Heading3"/>
        <w:ind w:left="397" w:hanging="397"/>
        <w:rPr/>
      </w:pPr>
      <w:r>
        <w:rPr/>
        <w:t>Any substitution of helmsman will be considered as separate entries into the series.</w:t>
      </w:r>
    </w:p>
    <w:p>
      <w:pPr>
        <w:pStyle w:val="NoSpacing"/>
        <w:rPr/>
      </w:pPr>
      <w:r>
        <w:rPr/>
      </w:r>
    </w:p>
    <w:p>
      <w:pPr>
        <w:pStyle w:val="NoSpacing"/>
        <w:ind w:left="0" w:hanging="0"/>
        <w:rPr/>
      </w:pPr>
      <w:r>
        <w:rPr/>
      </w:r>
    </w:p>
    <w:p>
      <w:pPr>
        <w:pStyle w:val="NoSpacing"/>
        <w:rPr/>
      </w:pPr>
      <w:r>
        <w:rPr/>
      </w:r>
    </w:p>
    <w:p>
      <w:pPr>
        <w:pStyle w:val="NoSpacing"/>
        <w:rPr/>
      </w:pPr>
      <w:r>
        <w:rPr/>
        <w:drawing>
          <wp:anchor behindDoc="0" distT="0" distB="0" distL="114300" distR="114300" simplePos="0" locked="0" layoutInCell="0" allowOverlap="1" relativeHeight="2">
            <wp:simplePos x="0" y="0"/>
            <wp:positionH relativeFrom="column">
              <wp:posOffset>1457960</wp:posOffset>
            </wp:positionH>
            <wp:positionV relativeFrom="paragraph">
              <wp:posOffset>121285</wp:posOffset>
            </wp:positionV>
            <wp:extent cx="7570470" cy="4631690"/>
            <wp:effectExtent l="0" t="0" r="0" b="0"/>
            <wp:wrapSquare wrapText="bothSides"/>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7570470" cy="4631690"/>
                    </a:xfrm>
                    <a:prstGeom prst="rect">
                      <a:avLst/>
                    </a:prstGeom>
                  </pic:spPr>
                </pic:pic>
              </a:graphicData>
            </a:graphic>
          </wp:anchor>
        </w:drawing>
      </w:r>
    </w:p>
    <w:sectPr>
      <w:type w:val="continuous"/>
      <w:pgSz w:orient="landscape" w:w="16838" w:h="11906"/>
      <w:pgMar w:left="720" w:right="720" w:gutter="0" w:header="0" w:top="720" w:footer="0" w:bottom="720"/>
      <w:cols w:num="3" w:space="396"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Times">
    <w:altName w:val="Times New Roman"/>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432" w:hanging="432"/>
      </w:pPr>
      <w:rPr>
        <w:smallCaps w:val="false"/>
        <w:caps w:val="false"/>
        <w:dstrike w:val="false"/>
        <w:strike w:val="false"/>
        <w:vertAlign w:val="baseline"/>
        <w:position w:val="0"/>
        <w:sz w:val="22"/>
        <w:vanish w:val="false"/>
        <w:color w:val="auto"/>
      </w:rPr>
    </w:lvl>
    <w:lvl w:ilvl="1">
      <w:start w:val="1"/>
      <w:pStyle w:val="Heading2"/>
      <w:numFmt w:val="decimal"/>
      <w:lvlText w:val="%1%2."/>
      <w:lvlJc w:val="left"/>
      <w:pPr>
        <w:tabs>
          <w:tab w:val="num" w:pos="0"/>
        </w:tabs>
        <w:ind w:left="576" w:hanging="576"/>
      </w:pPr>
    </w:lvl>
    <w:lvl w:ilvl="2">
      <w:start w:val="1"/>
      <w:pStyle w:val="Heading3"/>
      <w:numFmt w:val="decimal"/>
      <w:lvlText w:val="%1%2.%3."/>
      <w:lvlJc w:val="left"/>
      <w:pPr>
        <w:tabs>
          <w:tab w:val="num" w:pos="0"/>
        </w:tabs>
        <w:ind w:left="2705" w:hanging="720"/>
      </w:pPr>
    </w:lvl>
    <w:lvl w:ilvl="3">
      <w:start w:val="1"/>
      <w:pStyle w:val="Heading4"/>
      <w:numFmt w:val="decimal"/>
      <w:lvlText w:val="%1.%2.%3.%4"/>
      <w:lvlJc w:val="left"/>
      <w:pPr>
        <w:tabs>
          <w:tab w:val="num" w:pos="0"/>
        </w:tabs>
        <w:ind w:left="864" w:hanging="864"/>
      </w:pPr>
    </w:lvl>
    <w:lvl w:ilvl="4">
      <w:start w:val="1"/>
      <w:pStyle w:val="Heading5"/>
      <w:numFmt w:val="decimal"/>
      <w:lvlText w:val="%1.%2.%3.%4.%5"/>
      <w:lvlJc w:val="left"/>
      <w:pPr>
        <w:tabs>
          <w:tab w:val="num" w:pos="0"/>
        </w:tabs>
        <w:ind w:left="1008" w:hanging="1008"/>
      </w:pPr>
    </w:lvl>
    <w:lvl w:ilvl="5">
      <w:start w:val="1"/>
      <w:pStyle w:val="Heading6"/>
      <w:numFmt w:val="decimal"/>
      <w:lvlText w:val="%1.%2.%3.%4.%5.%6"/>
      <w:lvlJc w:val="left"/>
      <w:pPr>
        <w:tabs>
          <w:tab w:val="num" w:pos="0"/>
        </w:tabs>
        <w:ind w:left="1152" w:hanging="1152"/>
      </w:pPr>
    </w:lvl>
    <w:lvl w:ilvl="6">
      <w:start w:val="1"/>
      <w:pStyle w:val="Heading7"/>
      <w:numFmt w:val="decimal"/>
      <w:lvlText w:val="%1.%2.%3.%4.%5.%6.%7"/>
      <w:lvlJc w:val="left"/>
      <w:pPr>
        <w:tabs>
          <w:tab w:val="num" w:pos="0"/>
        </w:tabs>
        <w:ind w:left="1296" w:hanging="1296"/>
      </w:pPr>
    </w:lvl>
    <w:lvl w:ilvl="7">
      <w:start w:val="1"/>
      <w:pStyle w:val="Heading8"/>
      <w:numFmt w:val="decimal"/>
      <w:lvlText w:val="%1.%2.%3.%4.%5.%6.%7.%8"/>
      <w:lvlJc w:val="left"/>
      <w:pPr>
        <w:tabs>
          <w:tab w:val="num" w:pos="0"/>
        </w:tabs>
        <w:ind w:left="1440" w:hanging="1440"/>
      </w:pPr>
    </w:lvl>
    <w:lvl w:ilvl="8">
      <w:start w:val="1"/>
      <w:pStyle w:val="Heading9"/>
      <w:numFmt w:val="decimal"/>
      <w:lvlText w:val="%1.%2.%3.%4.%5.%6.%7.%8.%9"/>
      <w:lvlJc w:val="left"/>
      <w:pPr>
        <w:tabs>
          <w:tab w:val="num" w:pos="0"/>
        </w:tabs>
        <w:ind w:left="1584" w:hanging="1584"/>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ind w:left="284" w:hanging="284"/>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1">
    <w:name w:val="Heading 1"/>
    <w:basedOn w:val="NoSpacing"/>
    <w:next w:val="Normal"/>
    <w:link w:val="Heading1Char"/>
    <w:uiPriority w:val="9"/>
    <w:qFormat/>
    <w:rsid w:val="00d20ecb"/>
    <w:pPr>
      <w:numPr>
        <w:ilvl w:val="0"/>
        <w:numId w:val="1"/>
      </w:numPr>
      <w:jc w:val="center"/>
      <w:outlineLvl w:val="0"/>
    </w:pPr>
    <w:rPr>
      <w:b/>
      <w:sz w:val="20"/>
      <w:szCs w:val="20"/>
    </w:rPr>
  </w:style>
  <w:style w:type="paragraph" w:styleId="Heading2">
    <w:name w:val="Heading 2"/>
    <w:basedOn w:val="NoSpacing"/>
    <w:next w:val="Normal"/>
    <w:link w:val="Heading2Char"/>
    <w:uiPriority w:val="9"/>
    <w:unhideWhenUsed/>
    <w:qFormat/>
    <w:rsid w:val="0021481a"/>
    <w:pPr>
      <w:numPr>
        <w:ilvl w:val="1"/>
        <w:numId w:val="1"/>
      </w:numPr>
      <w:ind w:left="397" w:hanging="397"/>
      <w:outlineLvl w:val="1"/>
    </w:pPr>
    <w:rPr>
      <w:b/>
    </w:rPr>
  </w:style>
  <w:style w:type="paragraph" w:styleId="Heading3">
    <w:name w:val="Heading 3"/>
    <w:basedOn w:val="NoSpacing"/>
    <w:next w:val="Normal"/>
    <w:link w:val="Heading3Char"/>
    <w:uiPriority w:val="9"/>
    <w:unhideWhenUsed/>
    <w:qFormat/>
    <w:rsid w:val="0021481a"/>
    <w:pPr>
      <w:numPr>
        <w:ilvl w:val="2"/>
        <w:numId w:val="1"/>
      </w:numPr>
      <w:ind w:left="397" w:hanging="397"/>
      <w:outlineLvl w:val="2"/>
    </w:pPr>
    <w:rPr/>
  </w:style>
  <w:style w:type="paragraph" w:styleId="Heading4">
    <w:name w:val="Heading 4"/>
    <w:basedOn w:val="Normal"/>
    <w:next w:val="Normal"/>
    <w:link w:val="Heading4Char"/>
    <w:uiPriority w:val="9"/>
    <w:semiHidden/>
    <w:unhideWhenUsed/>
    <w:qFormat/>
    <w:rsid w:val="0021481a"/>
    <w:pPr>
      <w:keepNext w:val="true"/>
      <w:keepLines/>
      <w:numPr>
        <w:ilvl w:val="3"/>
        <w:numId w:val="1"/>
      </w:numPr>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paragraph" w:styleId="Heading5">
    <w:name w:val="Heading 5"/>
    <w:basedOn w:val="Normal"/>
    <w:next w:val="Normal"/>
    <w:link w:val="Heading5Char"/>
    <w:uiPriority w:val="9"/>
    <w:semiHidden/>
    <w:unhideWhenUsed/>
    <w:qFormat/>
    <w:rsid w:val="0021481a"/>
    <w:pPr>
      <w:keepNext w:val="true"/>
      <w:keepLines/>
      <w:numPr>
        <w:ilvl w:val="4"/>
        <w:numId w:val="1"/>
      </w:numPr>
      <w:spacing w:before="40" w:after="0"/>
      <w:outlineLvl w:val="4"/>
    </w:pPr>
    <w:rPr>
      <w:rFonts w:ascii="Calibri Light" w:hAnsi="Calibri Light" w:eastAsia="" w:cs="" w:asciiTheme="majorHAnsi" w:cstheme="majorBidi" w:eastAsiaTheme="majorEastAsia" w:hAnsiTheme="majorHAnsi"/>
      <w:color w:val="2E74B5" w:themeColor="accent1" w:themeShade="bf"/>
    </w:rPr>
  </w:style>
  <w:style w:type="paragraph" w:styleId="Heading6">
    <w:name w:val="Heading 6"/>
    <w:basedOn w:val="Normal"/>
    <w:next w:val="Normal"/>
    <w:link w:val="Heading6Char"/>
    <w:uiPriority w:val="9"/>
    <w:semiHidden/>
    <w:unhideWhenUsed/>
    <w:qFormat/>
    <w:rsid w:val="0021481a"/>
    <w:pPr>
      <w:keepNext w:val="true"/>
      <w:keepLines/>
      <w:numPr>
        <w:ilvl w:val="5"/>
        <w:numId w:val="1"/>
      </w:numPr>
      <w:spacing w:before="40" w:after="0"/>
      <w:outlineLvl w:val="5"/>
    </w:pPr>
    <w:rPr>
      <w:rFonts w:ascii="Calibri Light" w:hAnsi="Calibri Light" w:eastAsia="" w:cs="" w:asciiTheme="majorHAnsi" w:cstheme="majorBidi" w:eastAsiaTheme="majorEastAsia" w:hAnsiTheme="majorHAnsi"/>
      <w:color w:val="1F4D78" w:themeColor="accent1" w:themeShade="7f"/>
    </w:rPr>
  </w:style>
  <w:style w:type="paragraph" w:styleId="Heading7">
    <w:name w:val="Heading 7"/>
    <w:basedOn w:val="Normal"/>
    <w:next w:val="Normal"/>
    <w:link w:val="Heading7Char"/>
    <w:uiPriority w:val="9"/>
    <w:semiHidden/>
    <w:unhideWhenUsed/>
    <w:qFormat/>
    <w:rsid w:val="0021481a"/>
    <w:pPr>
      <w:keepNext w:val="true"/>
      <w:keepLines/>
      <w:numPr>
        <w:ilvl w:val="6"/>
        <w:numId w:val="1"/>
      </w:numPr>
      <w:spacing w:before="40" w:after="0"/>
      <w:outlineLvl w:val="6"/>
    </w:pPr>
    <w:rPr>
      <w:rFonts w:ascii="Calibri Light" w:hAnsi="Calibri Light" w:eastAsia="" w:cs="" w:asciiTheme="majorHAnsi" w:cstheme="majorBidi" w:eastAsiaTheme="majorEastAsia" w:hAnsiTheme="majorHAnsi"/>
      <w:i/>
      <w:iCs/>
      <w:color w:val="1F4D78" w:themeColor="accent1" w:themeShade="7f"/>
    </w:rPr>
  </w:style>
  <w:style w:type="paragraph" w:styleId="Heading8">
    <w:name w:val="Heading 8"/>
    <w:basedOn w:val="Normal"/>
    <w:next w:val="Normal"/>
    <w:link w:val="Heading8Char"/>
    <w:uiPriority w:val="9"/>
    <w:semiHidden/>
    <w:unhideWhenUsed/>
    <w:qFormat/>
    <w:rsid w:val="0021481a"/>
    <w:pPr>
      <w:keepNext w:val="true"/>
      <w:keepLines/>
      <w:numPr>
        <w:ilvl w:val="7"/>
        <w:numId w:val="1"/>
      </w:numPr>
      <w:spacing w:before="40" w:after="0"/>
      <w:outlineLvl w:val="7"/>
    </w:pPr>
    <w:rPr>
      <w:rFonts w:ascii="Calibri Light" w:hAnsi="Calibri Light" w:eastAsia="" w:cs="" w:asciiTheme="majorHAnsi" w:cstheme="majorBidi" w:eastAsiaTheme="majorEastAsia"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21481a"/>
    <w:pPr>
      <w:keepNext w:val="true"/>
      <w:keepLines/>
      <w:numPr>
        <w:ilvl w:val="8"/>
        <w:numId w:val="1"/>
      </w:numPr>
      <w:spacing w:before="40" w:after="0"/>
      <w:outlineLvl w:val="8"/>
    </w:pPr>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d20ecb"/>
    <w:rPr>
      <w:b/>
      <w:sz w:val="20"/>
      <w:szCs w:val="20"/>
    </w:rPr>
  </w:style>
  <w:style w:type="character" w:styleId="Heading2Char" w:customStyle="1">
    <w:name w:val="Heading 2 Char"/>
    <w:basedOn w:val="DefaultParagraphFont"/>
    <w:link w:val="Heading2"/>
    <w:uiPriority w:val="9"/>
    <w:qFormat/>
    <w:rsid w:val="0021481a"/>
    <w:rPr>
      <w:b/>
      <w:sz w:val="16"/>
      <w:szCs w:val="16"/>
    </w:rPr>
  </w:style>
  <w:style w:type="character" w:styleId="Heading3Char" w:customStyle="1">
    <w:name w:val="Heading 3 Char"/>
    <w:basedOn w:val="DefaultParagraphFont"/>
    <w:link w:val="Heading3"/>
    <w:uiPriority w:val="9"/>
    <w:qFormat/>
    <w:rsid w:val="0021481a"/>
    <w:rPr>
      <w:sz w:val="16"/>
      <w:szCs w:val="16"/>
    </w:rPr>
  </w:style>
  <w:style w:type="character" w:styleId="Heading4Char" w:customStyle="1">
    <w:name w:val="Heading 4 Char"/>
    <w:basedOn w:val="DefaultParagraphFont"/>
    <w:link w:val="Heading4"/>
    <w:uiPriority w:val="9"/>
    <w:semiHidden/>
    <w:qFormat/>
    <w:rsid w:val="0021481a"/>
    <w:rPr>
      <w:rFonts w:ascii="Calibri Light" w:hAnsi="Calibri Light" w:eastAsia="" w:cs="" w:asciiTheme="majorHAnsi" w:cstheme="majorBidi" w:eastAsiaTheme="majorEastAsia" w:hAnsiTheme="majorHAnsi"/>
      <w:i/>
      <w:iCs/>
      <w:color w:val="2E74B5" w:themeColor="accent1" w:themeShade="bf"/>
    </w:rPr>
  </w:style>
  <w:style w:type="character" w:styleId="Heading5Char" w:customStyle="1">
    <w:name w:val="Heading 5 Char"/>
    <w:basedOn w:val="DefaultParagraphFont"/>
    <w:link w:val="Heading5"/>
    <w:uiPriority w:val="9"/>
    <w:semiHidden/>
    <w:qFormat/>
    <w:rsid w:val="0021481a"/>
    <w:rPr>
      <w:rFonts w:ascii="Calibri Light" w:hAnsi="Calibri Light" w:eastAsia="" w:cs="" w:asciiTheme="majorHAnsi" w:cstheme="majorBidi" w:eastAsiaTheme="majorEastAsia" w:hAnsiTheme="majorHAnsi"/>
      <w:color w:val="2E74B5" w:themeColor="accent1" w:themeShade="bf"/>
    </w:rPr>
  </w:style>
  <w:style w:type="character" w:styleId="Heading6Char" w:customStyle="1">
    <w:name w:val="Heading 6 Char"/>
    <w:basedOn w:val="DefaultParagraphFont"/>
    <w:link w:val="Heading6"/>
    <w:uiPriority w:val="9"/>
    <w:semiHidden/>
    <w:qFormat/>
    <w:rsid w:val="0021481a"/>
    <w:rPr>
      <w:rFonts w:ascii="Calibri Light" w:hAnsi="Calibri Light" w:eastAsia="" w:cs="" w:asciiTheme="majorHAnsi" w:cstheme="majorBidi" w:eastAsiaTheme="majorEastAsia" w:hAnsiTheme="majorHAnsi"/>
      <w:color w:val="1F4D78" w:themeColor="accent1" w:themeShade="7f"/>
    </w:rPr>
  </w:style>
  <w:style w:type="character" w:styleId="Heading7Char" w:customStyle="1">
    <w:name w:val="Heading 7 Char"/>
    <w:basedOn w:val="DefaultParagraphFont"/>
    <w:link w:val="Heading7"/>
    <w:uiPriority w:val="9"/>
    <w:semiHidden/>
    <w:qFormat/>
    <w:rsid w:val="0021481a"/>
    <w:rPr>
      <w:rFonts w:ascii="Calibri Light" w:hAnsi="Calibri Light" w:eastAsia="" w:cs="" w:asciiTheme="majorHAnsi" w:cstheme="majorBidi" w:eastAsiaTheme="majorEastAsia" w:hAnsiTheme="majorHAnsi"/>
      <w:i/>
      <w:iCs/>
      <w:color w:val="1F4D78" w:themeColor="accent1" w:themeShade="7f"/>
    </w:rPr>
  </w:style>
  <w:style w:type="character" w:styleId="Heading8Char" w:customStyle="1">
    <w:name w:val="Heading 8 Char"/>
    <w:basedOn w:val="DefaultParagraphFont"/>
    <w:link w:val="Heading8"/>
    <w:uiPriority w:val="9"/>
    <w:semiHidden/>
    <w:qFormat/>
    <w:rsid w:val="0021481a"/>
    <w:rPr>
      <w:rFonts w:ascii="Calibri Light" w:hAnsi="Calibri Light" w:eastAsia="" w:cs="" w:asciiTheme="majorHAnsi" w:cstheme="majorBidi" w:eastAsiaTheme="majorEastAsia" w:hAnsiTheme="majorHAnsi"/>
      <w:color w:val="272727" w:themeColor="text1" w:themeTint="d8"/>
      <w:sz w:val="21"/>
      <w:szCs w:val="21"/>
    </w:rPr>
  </w:style>
  <w:style w:type="character" w:styleId="Heading9Char" w:customStyle="1">
    <w:name w:val="Heading 9 Char"/>
    <w:basedOn w:val="DefaultParagraphFont"/>
    <w:link w:val="Heading9"/>
    <w:uiPriority w:val="9"/>
    <w:semiHidden/>
    <w:qFormat/>
    <w:rsid w:val="0021481a"/>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FooterChar" w:customStyle="1">
    <w:name w:val="Footer Char"/>
    <w:basedOn w:val="DefaultParagraphFont"/>
    <w:link w:val="Footer"/>
    <w:qFormat/>
    <w:rsid w:val="00571336"/>
    <w:rPr>
      <w:rFonts w:ascii="Times" w:hAnsi="Times" w:eastAsia="Times New Roman" w:cs="Times New Roman"/>
      <w:sz w:val="24"/>
      <w:szCs w:val="20"/>
      <w:lang w:val="fi-FI" w:eastAsia="fi-FI"/>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NoSpacing">
    <w:name w:val="No Spacing"/>
    <w:uiPriority w:val="1"/>
    <w:qFormat/>
    <w:rsid w:val="00e545dc"/>
    <w:pPr>
      <w:widowControl/>
      <w:bidi w:val="0"/>
      <w:spacing w:before="0" w:after="0"/>
      <w:ind w:left="397" w:hanging="0"/>
      <w:jc w:val="left"/>
    </w:pPr>
    <w:rPr>
      <w:rFonts w:ascii="Calibri" w:hAnsi="Calibri" w:eastAsia="Calibri" w:cs="" w:asciiTheme="minorHAnsi" w:cstheme="minorBidi" w:eastAsiaTheme="minorHAnsi" w:hAnsiTheme="minorHAnsi"/>
      <w:color w:val="auto"/>
      <w:kern w:val="0"/>
      <w:sz w:val="16"/>
      <w:szCs w:val="16"/>
      <w:lang w:val="en-GB" w:eastAsia="en-US" w:bidi="ar-SA"/>
    </w:rPr>
  </w:style>
  <w:style w:type="paragraph" w:styleId="HeaderandFooter">
    <w:name w:val="Header and Footer"/>
    <w:basedOn w:val="Normal"/>
    <w:qFormat/>
    <w:pPr/>
    <w:rPr/>
  </w:style>
  <w:style w:type="paragraph" w:styleId="Footer">
    <w:name w:val="Footer"/>
    <w:basedOn w:val="Normal"/>
    <w:link w:val="FooterChar"/>
    <w:rsid w:val="00571336"/>
    <w:pPr>
      <w:tabs>
        <w:tab w:val="clear" w:pos="720"/>
        <w:tab w:val="center" w:pos="4819" w:leader="none"/>
        <w:tab w:val="right" w:pos="9071" w:leader="none"/>
      </w:tabs>
      <w:ind w:left="0" w:hanging="0"/>
    </w:pPr>
    <w:rPr>
      <w:rFonts w:ascii="Times" w:hAnsi="Times" w:eastAsia="Times New Roman" w:cs="Times New Roman"/>
      <w:sz w:val="24"/>
      <w:szCs w:val="20"/>
      <w:lang w:val="fi-FI" w:eastAsia="fi-FI"/>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a35568"/>
    <w:pPr/>
    <w:rPr>
      <w:lang w:eastAsia="en-GB"/>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Application>LibreOffice/7.2.1.2$Windows_X86_64 LibreOffice_project/87b77fad49947c1441b67c559c339af8f3517e22</Application>
  <AppVersion>15.0000</AppVersion>
  <Pages>2</Pages>
  <Words>1438</Words>
  <Characters>6689</Characters>
  <CharactersWithSpaces>8023</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2021-09-01T10:46:00Z</dcterms:created>
  <dc:creator>Martin</dc:creator>
  <dc:description/>
  <dc:language>en-GB</dc:language>
  <cp:lastModifiedBy/>
  <dcterms:modified xsi:type="dcterms:W3CDTF">2022-02-15T23:01:22Z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