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D798F" w14:textId="364170B0" w:rsidR="00324F6C" w:rsidRDefault="009B0E09" w:rsidP="00C851F9">
      <w:pPr>
        <w:pStyle w:val="Heading2"/>
      </w:pPr>
      <w:r>
        <w:t>Attachment X</w:t>
      </w:r>
      <w:r w:rsidR="00C851F9">
        <w:t xml:space="preserve"> </w:t>
      </w:r>
      <w:r w:rsidR="00F376F7">
        <w:t>–</w:t>
      </w:r>
      <w:r w:rsidR="00E27A07">
        <w:t xml:space="preserve"> </w:t>
      </w:r>
      <w:r w:rsidR="00C851F9">
        <w:t>Damage</w:t>
      </w:r>
    </w:p>
    <w:p w14:paraId="430B9543" w14:textId="61862663" w:rsidR="002D5F66" w:rsidRDefault="002D5F66" w:rsidP="00C851F9">
      <w:pPr>
        <w:rPr>
          <w:rFonts w:eastAsia="Calibri" w:cstheme="minorHAnsi"/>
          <w:color w:val="000000"/>
          <w:sz w:val="20"/>
          <w:szCs w:val="20"/>
        </w:rPr>
      </w:pPr>
    </w:p>
    <w:p w14:paraId="4C1DF45C" w14:textId="50249CCC" w:rsidR="003516C3" w:rsidRDefault="003516C3" w:rsidP="00DA0A4C">
      <w:r>
        <w:t xml:space="preserve">It is </w:t>
      </w:r>
      <w:r w:rsidR="00203EA1">
        <w:t>expected that</w:t>
      </w:r>
      <w:r>
        <w:t xml:space="preserve"> all competitors show due care and attention to the boats that are provided for </w:t>
      </w:r>
      <w:r w:rsidR="006B5A0F">
        <w:t xml:space="preserve">their </w:t>
      </w:r>
      <w:r>
        <w:t xml:space="preserve">use during the Series. </w:t>
      </w:r>
      <w:r w:rsidR="00CB1A07">
        <w:t>Damage to boats causes conflict, delay and impacts everyone involved at the event. This attachment intends to help minimise damage whil</w:t>
      </w:r>
      <w:r w:rsidR="006A75E8">
        <w:t>st</w:t>
      </w:r>
      <w:r w:rsidR="00CB1A07">
        <w:t xml:space="preserve"> ensuring penalties are consistent; ultimately providing more racing at less cost for everyone.</w:t>
      </w:r>
    </w:p>
    <w:p w14:paraId="57DF1629" w14:textId="2D2A1F3D" w:rsidR="00072452" w:rsidRPr="00072452" w:rsidRDefault="00072452" w:rsidP="00072452">
      <w:pPr>
        <w:spacing w:before="120"/>
      </w:pPr>
      <w:r w:rsidRPr="00072452">
        <w:t xml:space="preserve">This document explains how damage will be assessed and gives general guidance on the appropriate penalty. When the protest committee has good reasons to do so, it may apply a different penalty. </w:t>
      </w:r>
    </w:p>
    <w:p w14:paraId="3F437C12" w14:textId="63A56846" w:rsidR="002D5F66" w:rsidRPr="002D5F66" w:rsidRDefault="00813299" w:rsidP="002D5F6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DAMAGE AGREEMENT</w:t>
      </w:r>
    </w:p>
    <w:p w14:paraId="7573F4CD" w14:textId="210E3486" w:rsidR="00C851F9" w:rsidRPr="002D5F66" w:rsidRDefault="00C851F9" w:rsidP="002D5F66">
      <w:pPr>
        <w:pStyle w:val="ListParagraph"/>
        <w:numPr>
          <w:ilvl w:val="1"/>
          <w:numId w:val="5"/>
        </w:numPr>
      </w:pPr>
      <w:r w:rsidRPr="002D5F66">
        <w:t xml:space="preserve">By entering the event, the </w:t>
      </w:r>
      <w:r w:rsidR="00126347">
        <w:t>team</w:t>
      </w:r>
      <w:r w:rsidR="00AD3C88">
        <w:t xml:space="preserve"> and all crew</w:t>
      </w:r>
      <w:r w:rsidR="005E0A4C">
        <w:t xml:space="preserve"> </w:t>
      </w:r>
      <w:r w:rsidRPr="002D5F66">
        <w:t>expressly agree</w:t>
      </w:r>
      <w:r w:rsidR="00126347">
        <w:t>s</w:t>
      </w:r>
      <w:r w:rsidRPr="002D5F66">
        <w:t xml:space="preserve"> to follow and comply with this system without delay or dispute. A failure to comply with an instruction or invoice issued may result in disqualification from the </w:t>
      </w:r>
      <w:r w:rsidR="00AD3C88">
        <w:t xml:space="preserve">event, </w:t>
      </w:r>
      <w:r w:rsidRPr="002D5F66">
        <w:t>series</w:t>
      </w:r>
      <w:r w:rsidR="00AD3C88">
        <w:t xml:space="preserve"> and future events</w:t>
      </w:r>
      <w:r w:rsidRPr="002D5F66">
        <w:t xml:space="preserve"> without a hearing. This changes RRS 63.1.</w:t>
      </w:r>
    </w:p>
    <w:p w14:paraId="7C834C30" w14:textId="57A6E724" w:rsidR="00C851F9" w:rsidRDefault="549EA487" w:rsidP="007C6536">
      <w:pPr>
        <w:pStyle w:val="ListParagraph"/>
        <w:numPr>
          <w:ilvl w:val="1"/>
          <w:numId w:val="5"/>
        </w:numPr>
      </w:pPr>
      <w:r>
        <w:t>Each</w:t>
      </w:r>
      <w:r w:rsidR="25ADFD83">
        <w:t xml:space="preserve"> skipper and</w:t>
      </w:r>
      <w:r>
        <w:t xml:space="preserve"> crew is liable for up to £1000 of damage</w:t>
      </w:r>
      <w:r w:rsidR="4292D6EF">
        <w:t xml:space="preserve"> associated</w:t>
      </w:r>
      <w:r>
        <w:t xml:space="preserve"> costs per incident (this includes boats, equipment and property)</w:t>
      </w:r>
      <w:r w:rsidR="4374AE8F">
        <w:t>.</w:t>
      </w:r>
    </w:p>
    <w:p w14:paraId="540EC70C" w14:textId="14C56898" w:rsidR="00C851F9" w:rsidRPr="002D5F66" w:rsidRDefault="00C851F9" w:rsidP="002D5F66">
      <w:pPr>
        <w:pStyle w:val="ListParagraph"/>
        <w:numPr>
          <w:ilvl w:val="1"/>
          <w:numId w:val="5"/>
        </w:numPr>
      </w:pPr>
      <w:r w:rsidRPr="002D5F66">
        <w:t xml:space="preserve">Any decision on the </w:t>
      </w:r>
      <w:r w:rsidR="003516C3">
        <w:t xml:space="preserve">allocation and </w:t>
      </w:r>
      <w:r w:rsidRPr="002D5F66">
        <w:t xml:space="preserve">quantum of any </w:t>
      </w:r>
      <w:r w:rsidR="003516C3">
        <w:t xml:space="preserve">damage associated </w:t>
      </w:r>
      <w:r w:rsidR="002F0A97">
        <w:t>cost</w:t>
      </w:r>
      <w:r w:rsidR="00724A0B">
        <w:t>s</w:t>
      </w:r>
      <w:r w:rsidRPr="002D5F66">
        <w:t xml:space="preserve"> is solely for the Organising </w:t>
      </w:r>
      <w:r w:rsidR="001B0397">
        <w:t>Authority</w:t>
      </w:r>
      <w:r w:rsidRPr="002D5F66">
        <w:t xml:space="preserve"> to determine. Subject to rule 62, the decision of the Organising </w:t>
      </w:r>
      <w:r w:rsidR="001B0397">
        <w:t>Authority</w:t>
      </w:r>
      <w:r w:rsidRPr="002D5F66">
        <w:t xml:space="preserve"> is final and teams agree to accept it without dispute.</w:t>
      </w:r>
    </w:p>
    <w:p w14:paraId="240805E3" w14:textId="1B539EC1" w:rsidR="002D5F66" w:rsidRPr="002D5F66" w:rsidRDefault="00813299" w:rsidP="002D5F66">
      <w:pPr>
        <w:pStyle w:val="ListParagraph"/>
        <w:numPr>
          <w:ilvl w:val="0"/>
          <w:numId w:val="5"/>
        </w:numPr>
        <w:rPr>
          <w:b/>
          <w:bCs/>
        </w:rPr>
      </w:pPr>
      <w:r w:rsidRPr="002D5F66">
        <w:rPr>
          <w:b/>
          <w:bCs/>
        </w:rPr>
        <w:t xml:space="preserve">DAMAGE </w:t>
      </w:r>
      <w:r>
        <w:rPr>
          <w:b/>
          <w:bCs/>
        </w:rPr>
        <w:t>ASSESSMENT</w:t>
      </w:r>
    </w:p>
    <w:p w14:paraId="623F9111" w14:textId="38AF0D5C" w:rsidR="00DA0A4C" w:rsidRDefault="00DA0A4C" w:rsidP="00A7255C">
      <w:pPr>
        <w:pStyle w:val="ListParagraph"/>
        <w:numPr>
          <w:ilvl w:val="1"/>
          <w:numId w:val="5"/>
        </w:numPr>
      </w:pPr>
      <w:r>
        <w:t xml:space="preserve">An initial assessment of the </w:t>
      </w:r>
      <w:r w:rsidR="00330826">
        <w:t>damage level</w:t>
      </w:r>
      <w:r>
        <w:t xml:space="preserve"> will be made </w:t>
      </w:r>
      <w:r w:rsidR="00330826">
        <w:t xml:space="preserve">on the water </w:t>
      </w:r>
      <w:r>
        <w:t>as soon as possible following a</w:t>
      </w:r>
      <w:r w:rsidR="00330826">
        <w:t xml:space="preserve"> racing</w:t>
      </w:r>
      <w:r>
        <w:t xml:space="preserve"> incident using the table shown in Damage Levels.</w:t>
      </w:r>
    </w:p>
    <w:p w14:paraId="2EA05D50" w14:textId="37A0E501" w:rsidR="00CB1A07" w:rsidRDefault="00CB1A07" w:rsidP="007C6536">
      <w:pPr>
        <w:pStyle w:val="ListParagraph"/>
        <w:numPr>
          <w:ilvl w:val="1"/>
          <w:numId w:val="5"/>
        </w:numPr>
      </w:pPr>
      <w:r w:rsidRPr="002D5F66">
        <w:t xml:space="preserve">The </w:t>
      </w:r>
      <w:r w:rsidR="00EB2577">
        <w:t xml:space="preserve">initial </w:t>
      </w:r>
      <w:r w:rsidRPr="002D5F66">
        <w:t xml:space="preserve">assessment is for the purpose of </w:t>
      </w:r>
      <w:r w:rsidR="00EB2577">
        <w:t>P</w:t>
      </w:r>
      <w:r w:rsidRPr="002D5F66">
        <w:t xml:space="preserve">oints </w:t>
      </w:r>
      <w:r w:rsidR="00EB2577">
        <w:t>P</w:t>
      </w:r>
      <w:r w:rsidRPr="002D5F66">
        <w:t xml:space="preserve">enalties </w:t>
      </w:r>
      <w:r w:rsidR="007C6536">
        <w:t xml:space="preserve">only </w:t>
      </w:r>
      <w:r w:rsidRPr="002D5F66">
        <w:t xml:space="preserve">and is not linked to any </w:t>
      </w:r>
      <w:r>
        <w:t xml:space="preserve">damage associated </w:t>
      </w:r>
      <w:r w:rsidRPr="002D5F66">
        <w:t xml:space="preserve">costs </w:t>
      </w:r>
      <w:r>
        <w:t xml:space="preserve">which may </w:t>
      </w:r>
      <w:r w:rsidR="00075CC9">
        <w:t xml:space="preserve">subsequently </w:t>
      </w:r>
      <w:r>
        <w:t>be allocated</w:t>
      </w:r>
      <w:r w:rsidRPr="002D5F66">
        <w:t xml:space="preserve"> to </w:t>
      </w:r>
      <w:r>
        <w:t>a Team</w:t>
      </w:r>
      <w:r w:rsidR="007C6536">
        <w:t xml:space="preserve">. </w:t>
      </w:r>
      <w:r w:rsidR="00075CC9">
        <w:t>Onward</w:t>
      </w:r>
      <w:r w:rsidR="007C6536" w:rsidRPr="002D5F66">
        <w:t xml:space="preserve"> assessment of the damage level after </w:t>
      </w:r>
      <w:r w:rsidR="00EB2577">
        <w:t>further</w:t>
      </w:r>
      <w:r w:rsidR="007C6536" w:rsidRPr="002D5F66">
        <w:t xml:space="preserve"> inspection, whether the level turns out to be higher or lower, will have no effect on the points penalty given on the water</w:t>
      </w:r>
      <w:r w:rsidR="000559AF">
        <w:t xml:space="preserve"> but may affect any damage associated costs</w:t>
      </w:r>
      <w:r w:rsidR="007C6536" w:rsidRPr="002D5F66">
        <w:t>.</w:t>
      </w:r>
    </w:p>
    <w:p w14:paraId="71CF0497" w14:textId="408A3853" w:rsidR="00F376F7" w:rsidRPr="00F376F7" w:rsidRDefault="00813299" w:rsidP="00F376F7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POINTS</w:t>
      </w:r>
      <w:r w:rsidRPr="00F376F7">
        <w:rPr>
          <w:b/>
          <w:bCs/>
        </w:rPr>
        <w:t xml:space="preserve"> PENALTY</w:t>
      </w:r>
    </w:p>
    <w:p w14:paraId="34E6AC4F" w14:textId="5ADB3198" w:rsidR="00F376F7" w:rsidRDefault="00F376F7" w:rsidP="00F376F7">
      <w:pPr>
        <w:pStyle w:val="ListParagraph"/>
        <w:numPr>
          <w:ilvl w:val="1"/>
          <w:numId w:val="5"/>
        </w:numPr>
      </w:pPr>
      <w:r>
        <w:t xml:space="preserve">The umpires may impose </w:t>
      </w:r>
      <w:r w:rsidR="007C6536">
        <w:t>an</w:t>
      </w:r>
      <w:r>
        <w:t xml:space="preserve"> appropriate </w:t>
      </w:r>
      <w:r w:rsidR="001006EE">
        <w:t>Points</w:t>
      </w:r>
      <w:r w:rsidRPr="002D5F66">
        <w:t xml:space="preserve"> </w:t>
      </w:r>
      <w:r>
        <w:t>P</w:t>
      </w:r>
      <w:r w:rsidRPr="002D5F66">
        <w:t>enalt</w:t>
      </w:r>
      <w:r>
        <w:t xml:space="preserve">y </w:t>
      </w:r>
      <w:r w:rsidRPr="002D5F66">
        <w:t xml:space="preserve">to boats that break </w:t>
      </w:r>
      <w:r>
        <w:t>rule</w:t>
      </w:r>
      <w:r w:rsidRPr="002D5F66">
        <w:t xml:space="preserve"> 14. </w:t>
      </w:r>
      <w:r w:rsidR="001006EE">
        <w:t>Points</w:t>
      </w:r>
      <w:r>
        <w:t xml:space="preserve"> P</w:t>
      </w:r>
      <w:r w:rsidRPr="002D5F66">
        <w:t xml:space="preserve">enalties </w:t>
      </w:r>
      <w:r>
        <w:t>may</w:t>
      </w:r>
      <w:r w:rsidRPr="002D5F66">
        <w:t xml:space="preserve"> </w:t>
      </w:r>
      <w:r>
        <w:t xml:space="preserve">be </w:t>
      </w:r>
      <w:r w:rsidRPr="002D5F66">
        <w:t xml:space="preserve">applied to </w:t>
      </w:r>
      <w:r>
        <w:t xml:space="preserve">a </w:t>
      </w:r>
      <w:r w:rsidRPr="002D5F66">
        <w:t xml:space="preserve">boats’ </w:t>
      </w:r>
      <w:r>
        <w:t xml:space="preserve">race </w:t>
      </w:r>
      <w:r w:rsidRPr="002D5F66">
        <w:t>score in the race in which damage occurred</w:t>
      </w:r>
      <w:r w:rsidR="00E23B63">
        <w:t xml:space="preserve"> or the race sailed nearest in time to that of the incident</w:t>
      </w:r>
      <w:r w:rsidRPr="002D5F66">
        <w:t>.</w:t>
      </w:r>
    </w:p>
    <w:p w14:paraId="6BA336E7" w14:textId="058DF3E5" w:rsidR="002D5F66" w:rsidRDefault="002D5F66" w:rsidP="00E23B63">
      <w:pPr>
        <w:pStyle w:val="ListParagraph"/>
        <w:numPr>
          <w:ilvl w:val="1"/>
          <w:numId w:val="5"/>
        </w:numPr>
      </w:pPr>
      <w:r w:rsidRPr="002D5F66">
        <w:t>The umpires may penalise breaches of RRS rule 14 without a hearing</w:t>
      </w:r>
      <w:r w:rsidR="00E23B63">
        <w:t>. This changes RRS 63.1</w:t>
      </w:r>
      <w:r w:rsidR="00E23B63" w:rsidRPr="002D5F66">
        <w:t>.</w:t>
      </w:r>
      <w:r w:rsidR="00E23B63">
        <w:t xml:space="preserve"> The team shall be informed of the penalty as soon as practicable and, at the time of being so informed, may request a hearing.</w:t>
      </w:r>
      <w:r w:rsidR="001006EE">
        <w:t xml:space="preserve"> </w:t>
      </w:r>
    </w:p>
    <w:p w14:paraId="29E97EF4" w14:textId="09EAEBAD" w:rsidR="003D03BB" w:rsidRPr="002D5F66" w:rsidRDefault="003D03BB" w:rsidP="003D03BB">
      <w:pPr>
        <w:pStyle w:val="ListParagraph"/>
        <w:numPr>
          <w:ilvl w:val="1"/>
          <w:numId w:val="5"/>
        </w:numPr>
      </w:pPr>
      <w:r>
        <w:t>T</w:t>
      </w:r>
      <w:r w:rsidRPr="002D5F66">
        <w:t>he Protest Committee may impose additional penalties if it has good reason to do so.</w:t>
      </w:r>
    </w:p>
    <w:p w14:paraId="1F49A16B" w14:textId="77777777" w:rsidR="00AD3C88" w:rsidRDefault="00AD3C88">
      <w:pPr>
        <w:rPr>
          <w:b/>
          <w:bCs/>
        </w:rPr>
      </w:pPr>
      <w:r>
        <w:rPr>
          <w:b/>
          <w:bCs/>
        </w:rPr>
        <w:br w:type="page"/>
      </w:r>
    </w:p>
    <w:p w14:paraId="6649DC34" w14:textId="3930C6DB" w:rsidR="00C851F9" w:rsidRPr="000A2D45" w:rsidRDefault="00813299" w:rsidP="002D5F66">
      <w:pPr>
        <w:pStyle w:val="ListParagraph"/>
        <w:numPr>
          <w:ilvl w:val="0"/>
          <w:numId w:val="5"/>
        </w:numPr>
        <w:rPr>
          <w:b/>
          <w:bCs/>
        </w:rPr>
      </w:pPr>
      <w:r w:rsidRPr="000A2D45">
        <w:rPr>
          <w:b/>
          <w:bCs/>
        </w:rPr>
        <w:lastRenderedPageBreak/>
        <w:t>DAMAGE LEVELS</w:t>
      </w:r>
    </w:p>
    <w:tbl>
      <w:tblPr>
        <w:tblW w:w="9374" w:type="dxa"/>
        <w:jc w:val="center"/>
        <w:tblBorders>
          <w:top w:val="single" w:sz="6" w:space="0" w:color="7F7F7F" w:themeColor="text2" w:themeTint="80"/>
          <w:left w:val="single" w:sz="6" w:space="0" w:color="7F7F7F" w:themeColor="text2" w:themeTint="80"/>
          <w:bottom w:val="single" w:sz="6" w:space="0" w:color="7F7F7F" w:themeColor="text2" w:themeTint="80"/>
          <w:right w:val="single" w:sz="6" w:space="0" w:color="7F7F7F" w:themeColor="text2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2351"/>
        <w:gridCol w:w="4678"/>
        <w:gridCol w:w="1160"/>
      </w:tblGrid>
      <w:tr w:rsidR="00330826" w:rsidRPr="005C2031" w14:paraId="63A84886" w14:textId="4DA3D029" w:rsidTr="555A30AE">
        <w:trPr>
          <w:trHeight w:val="197"/>
          <w:jc w:val="center"/>
        </w:trPr>
        <w:tc>
          <w:tcPr>
            <w:tcW w:w="1185" w:type="dxa"/>
            <w:tcBorders>
              <w:bottom w:val="single" w:sz="6" w:space="0" w:color="7F7F7F" w:themeColor="text2" w:themeTint="80"/>
              <w:right w:val="single" w:sz="6" w:space="0" w:color="7F7F7F" w:themeColor="text2" w:themeTint="80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A91A2F0" w14:textId="412488E8" w:rsidR="00330826" w:rsidRPr="002D5F66" w:rsidRDefault="00330826" w:rsidP="00AD3C88">
            <w:pPr>
              <w:pStyle w:val="NoSpacing"/>
              <w:jc w:val="center"/>
            </w:pPr>
            <w:r w:rsidRPr="002D5F66">
              <w:t>Level</w:t>
            </w:r>
          </w:p>
        </w:tc>
        <w:tc>
          <w:tcPr>
            <w:tcW w:w="2351" w:type="dxa"/>
            <w:tcBorders>
              <w:left w:val="single" w:sz="6" w:space="0" w:color="7F7F7F" w:themeColor="text2" w:themeTint="80"/>
              <w:bottom w:val="single" w:sz="6" w:space="0" w:color="7F7F7F" w:themeColor="text2" w:themeTint="80"/>
              <w:right w:val="single" w:sz="6" w:space="0" w:color="7F7F7F" w:themeColor="text2" w:themeTint="80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024A82F" w14:textId="77777777" w:rsidR="00330826" w:rsidRPr="002D5F66" w:rsidRDefault="00330826" w:rsidP="00AD3C88">
            <w:pPr>
              <w:pStyle w:val="NoSpacing"/>
              <w:jc w:val="center"/>
            </w:pPr>
            <w:r w:rsidRPr="002D5F66">
              <w:t>Extent</w:t>
            </w:r>
          </w:p>
        </w:tc>
        <w:tc>
          <w:tcPr>
            <w:tcW w:w="4678" w:type="dxa"/>
            <w:tcBorders>
              <w:left w:val="single" w:sz="6" w:space="0" w:color="7F7F7F" w:themeColor="text2" w:themeTint="80"/>
              <w:bottom w:val="single" w:sz="6" w:space="0" w:color="7F7F7F" w:themeColor="text2" w:themeTint="80"/>
            </w:tcBorders>
            <w:shd w:val="clear" w:color="auto" w:fill="F2F2F2" w:themeFill="background1" w:themeFillShade="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954C222" w14:textId="77777777" w:rsidR="00330826" w:rsidRPr="002D5F66" w:rsidRDefault="00330826" w:rsidP="00AD3C88">
            <w:pPr>
              <w:pStyle w:val="NoSpacing"/>
              <w:jc w:val="center"/>
            </w:pPr>
            <w:r w:rsidRPr="002D5F66">
              <w:t>Effect</w:t>
            </w:r>
          </w:p>
        </w:tc>
        <w:tc>
          <w:tcPr>
            <w:tcW w:w="1160" w:type="dxa"/>
            <w:tcBorders>
              <w:left w:val="single" w:sz="6" w:space="0" w:color="7F7F7F" w:themeColor="text2" w:themeTint="80"/>
              <w:bottom w:val="single" w:sz="6" w:space="0" w:color="7F7F7F" w:themeColor="text2" w:themeTint="80"/>
            </w:tcBorders>
            <w:shd w:val="clear" w:color="auto" w:fill="F2F2F2" w:themeFill="background1" w:themeFillShade="F2"/>
            <w:vAlign w:val="center"/>
          </w:tcPr>
          <w:p w14:paraId="20758838" w14:textId="1B33AFDE" w:rsidR="00330826" w:rsidRPr="002D5F66" w:rsidRDefault="001006EE" w:rsidP="00AD3C88">
            <w:pPr>
              <w:pStyle w:val="NoSpacing"/>
              <w:jc w:val="center"/>
            </w:pPr>
            <w:r>
              <w:t>Points</w:t>
            </w:r>
            <w:r w:rsidR="00330826" w:rsidRPr="002D5F66">
              <w:t xml:space="preserve"> Penalty</w:t>
            </w:r>
          </w:p>
        </w:tc>
      </w:tr>
      <w:tr w:rsidR="00330826" w:rsidRPr="005C2031" w14:paraId="17E6936A" w14:textId="57F77F38" w:rsidTr="555A30AE">
        <w:trPr>
          <w:trHeight w:val="1030"/>
          <w:jc w:val="center"/>
        </w:trPr>
        <w:tc>
          <w:tcPr>
            <w:tcW w:w="1185" w:type="dxa"/>
            <w:tcBorders>
              <w:top w:val="single" w:sz="6" w:space="0" w:color="7F7F7F" w:themeColor="text2" w:themeTint="80"/>
              <w:bottom w:val="single" w:sz="6" w:space="0" w:color="7F7F7F" w:themeColor="text2" w:themeTint="80"/>
              <w:right w:val="single" w:sz="6" w:space="0" w:color="7F7F7F" w:themeColor="text2" w:themeTint="8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9F33166" w14:textId="77777777" w:rsidR="00330826" w:rsidRPr="002D5F66" w:rsidRDefault="00330826" w:rsidP="00CB1A07">
            <w:pPr>
              <w:pStyle w:val="NoSpacing"/>
            </w:pPr>
            <w:r w:rsidRPr="002D5F66">
              <w:t>Level A</w:t>
            </w:r>
            <w:r w:rsidRPr="002D5F66">
              <w:br/>
            </w:r>
            <w:r w:rsidRPr="00075CC9">
              <w:rPr>
                <w:i/>
                <w:iCs/>
              </w:rPr>
              <w:t>Minor Damage</w:t>
            </w:r>
          </w:p>
        </w:tc>
        <w:tc>
          <w:tcPr>
            <w:tcW w:w="2351" w:type="dxa"/>
            <w:tcBorders>
              <w:top w:val="single" w:sz="6" w:space="0" w:color="7F7F7F" w:themeColor="text2" w:themeTint="80"/>
              <w:left w:val="single" w:sz="6" w:space="0" w:color="7F7F7F" w:themeColor="text2" w:themeTint="80"/>
              <w:bottom w:val="single" w:sz="6" w:space="0" w:color="7F7F7F" w:themeColor="text2" w:themeTint="80"/>
              <w:right w:val="single" w:sz="6" w:space="0" w:color="7F7F7F" w:themeColor="text2" w:themeTint="8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1BAF79D" w14:textId="41AE9F8A" w:rsidR="00330826" w:rsidRPr="002D5F66" w:rsidRDefault="0015165E" w:rsidP="00CB1A07">
            <w:pPr>
              <w:pStyle w:val="NoSpacing"/>
            </w:pPr>
            <w:r w:rsidRPr="008C1260">
              <w:t>Does not significantly affect the value, general appearance or normal operation of the boat.</w:t>
            </w:r>
          </w:p>
        </w:tc>
        <w:tc>
          <w:tcPr>
            <w:tcW w:w="4678" w:type="dxa"/>
            <w:tcBorders>
              <w:top w:val="single" w:sz="6" w:space="0" w:color="7F7F7F" w:themeColor="text2" w:themeTint="80"/>
              <w:left w:val="single" w:sz="6" w:space="0" w:color="7F7F7F" w:themeColor="text2" w:themeTint="80"/>
              <w:bottom w:val="single" w:sz="6" w:space="0" w:color="7F7F7F" w:themeColor="text2" w:themeTint="8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CBA088B" w14:textId="73E8AA99" w:rsidR="00330826" w:rsidRPr="002D5F66" w:rsidRDefault="00C944CA" w:rsidP="00CB1A07">
            <w:pPr>
              <w:pStyle w:val="NoSpacing"/>
            </w:pPr>
            <w:r>
              <w:t>The b</w:t>
            </w:r>
            <w:r w:rsidR="0015165E" w:rsidRPr="008C1260">
              <w:t>oat may race without repair although some minor surface work may be required after the event. Repairs should not normally require more than 1 hour of work.</w:t>
            </w:r>
          </w:p>
        </w:tc>
        <w:tc>
          <w:tcPr>
            <w:tcW w:w="1160" w:type="dxa"/>
            <w:tcBorders>
              <w:top w:val="single" w:sz="6" w:space="0" w:color="7F7F7F" w:themeColor="text2" w:themeTint="80"/>
              <w:left w:val="single" w:sz="6" w:space="0" w:color="7F7F7F" w:themeColor="text2" w:themeTint="80"/>
              <w:bottom w:val="single" w:sz="6" w:space="0" w:color="7F7F7F" w:themeColor="text2" w:themeTint="80"/>
            </w:tcBorders>
            <w:vAlign w:val="center"/>
          </w:tcPr>
          <w:p w14:paraId="4CD86DFF" w14:textId="55A3E5F7" w:rsidR="00E96C4D" w:rsidRPr="002D5F66" w:rsidRDefault="0BEB94C2" w:rsidP="555A30AE">
            <w:pPr>
              <w:pStyle w:val="NoSpacing"/>
              <w:jc w:val="center"/>
            </w:pPr>
            <w:r>
              <w:t>4</w:t>
            </w:r>
          </w:p>
        </w:tc>
      </w:tr>
      <w:tr w:rsidR="00B71AC9" w:rsidRPr="005C2031" w14:paraId="6D50D584" w14:textId="2600A3A2" w:rsidTr="555A30AE">
        <w:trPr>
          <w:trHeight w:val="1030"/>
          <w:jc w:val="center"/>
        </w:trPr>
        <w:tc>
          <w:tcPr>
            <w:tcW w:w="1185" w:type="dxa"/>
            <w:tcBorders>
              <w:top w:val="single" w:sz="6" w:space="0" w:color="7F7F7F" w:themeColor="text2" w:themeTint="80"/>
              <w:bottom w:val="single" w:sz="6" w:space="0" w:color="7F7F7F" w:themeColor="text2" w:themeTint="80"/>
              <w:right w:val="single" w:sz="6" w:space="0" w:color="7F7F7F" w:themeColor="text2" w:themeTint="8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3B217F6" w14:textId="77777777" w:rsidR="00B71AC9" w:rsidRPr="002D5F66" w:rsidRDefault="00B71AC9" w:rsidP="00B71AC9">
            <w:pPr>
              <w:pStyle w:val="NoSpacing"/>
            </w:pPr>
            <w:r w:rsidRPr="002D5F66">
              <w:t>Level B</w:t>
            </w:r>
            <w:r w:rsidRPr="002D5F66">
              <w:br/>
            </w:r>
            <w:r w:rsidRPr="00075CC9">
              <w:rPr>
                <w:i/>
                <w:iCs/>
              </w:rPr>
              <w:t>Significant Damage</w:t>
            </w:r>
          </w:p>
        </w:tc>
        <w:tc>
          <w:tcPr>
            <w:tcW w:w="2351" w:type="dxa"/>
            <w:tcBorders>
              <w:top w:val="single" w:sz="6" w:space="0" w:color="7F7F7F" w:themeColor="text2" w:themeTint="80"/>
              <w:left w:val="single" w:sz="6" w:space="0" w:color="7F7F7F" w:themeColor="text2" w:themeTint="80"/>
              <w:bottom w:val="single" w:sz="6" w:space="0" w:color="7F7F7F" w:themeColor="text2" w:themeTint="80"/>
              <w:right w:val="single" w:sz="6" w:space="0" w:color="7F7F7F" w:themeColor="text2" w:themeTint="8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24DF2A9" w14:textId="4A5558FA" w:rsidR="00B71AC9" w:rsidRPr="002D5F66" w:rsidRDefault="00B71AC9" w:rsidP="00B71AC9">
            <w:pPr>
              <w:pStyle w:val="NoSpacing"/>
            </w:pPr>
            <w:r w:rsidRPr="008C1260">
              <w:t>Affects the value and/or general appearance of the boat</w:t>
            </w:r>
          </w:p>
        </w:tc>
        <w:tc>
          <w:tcPr>
            <w:tcW w:w="4678" w:type="dxa"/>
            <w:tcBorders>
              <w:top w:val="single" w:sz="6" w:space="0" w:color="7F7F7F" w:themeColor="text2" w:themeTint="80"/>
              <w:left w:val="single" w:sz="6" w:space="0" w:color="7F7F7F" w:themeColor="text2" w:themeTint="80"/>
              <w:bottom w:val="single" w:sz="6" w:space="0" w:color="7F7F7F" w:themeColor="text2" w:themeTint="8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363235F" w14:textId="5F6475AE" w:rsidR="00B71AC9" w:rsidRPr="002D5F66" w:rsidRDefault="00B71AC9" w:rsidP="00B71AC9">
            <w:pPr>
              <w:pStyle w:val="NoSpacing"/>
            </w:pPr>
            <w:r w:rsidRPr="008C1260">
              <w:t>The damage does not affect the normal operation of the boat in that race but may need some (temporary) work before racing again. Requires more than 1 hour of work but should not normally require more than 3 hours of work.</w:t>
            </w:r>
          </w:p>
        </w:tc>
        <w:tc>
          <w:tcPr>
            <w:tcW w:w="1160" w:type="dxa"/>
            <w:tcBorders>
              <w:top w:val="single" w:sz="6" w:space="0" w:color="7F7F7F" w:themeColor="text2" w:themeTint="80"/>
              <w:left w:val="single" w:sz="6" w:space="0" w:color="7F7F7F" w:themeColor="text2" w:themeTint="80"/>
              <w:bottom w:val="single" w:sz="6" w:space="0" w:color="7F7F7F" w:themeColor="text2" w:themeTint="80"/>
            </w:tcBorders>
            <w:vAlign w:val="center"/>
          </w:tcPr>
          <w:p w14:paraId="01924915" w14:textId="07F02FCD" w:rsidR="00B71AC9" w:rsidRPr="002D5F66" w:rsidRDefault="1DD3C198" w:rsidP="555A30AE">
            <w:pPr>
              <w:pStyle w:val="NoSpacing"/>
              <w:jc w:val="center"/>
            </w:pPr>
            <w:r>
              <w:t>8</w:t>
            </w:r>
          </w:p>
        </w:tc>
      </w:tr>
      <w:tr w:rsidR="00B71AC9" w:rsidRPr="005C2031" w14:paraId="6AED4849" w14:textId="640A6C30" w:rsidTr="555A30AE">
        <w:trPr>
          <w:trHeight w:val="1030"/>
          <w:jc w:val="center"/>
        </w:trPr>
        <w:tc>
          <w:tcPr>
            <w:tcW w:w="1185" w:type="dxa"/>
            <w:tcBorders>
              <w:top w:val="single" w:sz="6" w:space="0" w:color="7F7F7F" w:themeColor="text2" w:themeTint="80"/>
              <w:right w:val="single" w:sz="6" w:space="0" w:color="7F7F7F" w:themeColor="text2" w:themeTint="8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11C1945" w14:textId="77777777" w:rsidR="00B71AC9" w:rsidRPr="002D5F66" w:rsidRDefault="00B71AC9" w:rsidP="00B71AC9">
            <w:pPr>
              <w:pStyle w:val="NoSpacing"/>
            </w:pPr>
            <w:r w:rsidRPr="002D5F66">
              <w:t>Level C</w:t>
            </w:r>
            <w:r w:rsidRPr="002D5F66">
              <w:br/>
            </w:r>
            <w:r w:rsidRPr="00075CC9">
              <w:rPr>
                <w:i/>
                <w:iCs/>
              </w:rPr>
              <w:t>Major Damage</w:t>
            </w:r>
          </w:p>
        </w:tc>
        <w:tc>
          <w:tcPr>
            <w:tcW w:w="2351" w:type="dxa"/>
            <w:tcBorders>
              <w:top w:val="single" w:sz="6" w:space="0" w:color="7F7F7F" w:themeColor="text2" w:themeTint="80"/>
              <w:left w:val="single" w:sz="6" w:space="0" w:color="7F7F7F" w:themeColor="text2" w:themeTint="80"/>
              <w:right w:val="single" w:sz="6" w:space="0" w:color="7F7F7F" w:themeColor="text2" w:themeTint="8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E0250B2" w14:textId="4AC28967" w:rsidR="00B71AC9" w:rsidRPr="002D5F66" w:rsidRDefault="00840856" w:rsidP="00B71AC9">
            <w:pPr>
              <w:pStyle w:val="NoSpacing"/>
            </w:pPr>
            <w:r w:rsidRPr="008C1260">
              <w:t>The normal operation of the boat is</w:t>
            </w:r>
            <w:r w:rsidR="001C053E" w:rsidRPr="008C1260">
              <w:t xml:space="preserve"> </w:t>
            </w:r>
            <w:r w:rsidR="002D3162" w:rsidRPr="008C1260">
              <w:t>compromised,</w:t>
            </w:r>
            <w:r w:rsidRPr="008C1260">
              <w:t xml:space="preserve"> and its structural integrity may be impaired.</w:t>
            </w:r>
          </w:p>
        </w:tc>
        <w:tc>
          <w:tcPr>
            <w:tcW w:w="4678" w:type="dxa"/>
            <w:tcBorders>
              <w:top w:val="single" w:sz="6" w:space="0" w:color="7F7F7F" w:themeColor="text2" w:themeTint="80"/>
              <w:left w:val="single" w:sz="6" w:space="0" w:color="7F7F7F" w:themeColor="text2" w:themeTint="8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9DE9454" w14:textId="24C4AD68" w:rsidR="00B71AC9" w:rsidRPr="002D5F66" w:rsidRDefault="00840856" w:rsidP="00B71AC9">
            <w:pPr>
              <w:pStyle w:val="NoSpacing"/>
            </w:pPr>
            <w:r w:rsidRPr="008C1260">
              <w:t>The boat will need some repair work before racing again. Requires more than 3 hours of work.</w:t>
            </w:r>
          </w:p>
        </w:tc>
        <w:tc>
          <w:tcPr>
            <w:tcW w:w="1160" w:type="dxa"/>
            <w:tcBorders>
              <w:top w:val="single" w:sz="6" w:space="0" w:color="7F7F7F" w:themeColor="text2" w:themeTint="80"/>
              <w:left w:val="single" w:sz="6" w:space="0" w:color="7F7F7F" w:themeColor="text2" w:themeTint="80"/>
            </w:tcBorders>
            <w:vAlign w:val="center"/>
          </w:tcPr>
          <w:p w14:paraId="7EE56B2A" w14:textId="7F781F09" w:rsidR="00B71AC9" w:rsidRPr="002D5F66" w:rsidRDefault="014C890F" w:rsidP="555A30AE">
            <w:pPr>
              <w:pStyle w:val="NoSpacing"/>
              <w:jc w:val="center"/>
            </w:pPr>
            <w:r>
              <w:t>16</w:t>
            </w:r>
          </w:p>
        </w:tc>
      </w:tr>
    </w:tbl>
    <w:p w14:paraId="5B02385C" w14:textId="77777777" w:rsidR="00AD3C88" w:rsidRDefault="00AD3C88" w:rsidP="0015165E">
      <w:pPr>
        <w:rPr>
          <w:b/>
          <w:bCs/>
        </w:rPr>
      </w:pPr>
    </w:p>
    <w:p w14:paraId="76E71618" w14:textId="6CAA4411" w:rsidR="00C851F9" w:rsidRPr="006F0C87" w:rsidRDefault="00237087" w:rsidP="0015165E">
      <w:pPr>
        <w:rPr>
          <w:b/>
          <w:bCs/>
        </w:rPr>
      </w:pPr>
      <w:r>
        <w:rPr>
          <w:b/>
          <w:bCs/>
        </w:rPr>
        <w:t>D</w:t>
      </w:r>
      <w:r w:rsidR="00813299">
        <w:rPr>
          <w:b/>
          <w:bCs/>
        </w:rPr>
        <w:t>AMAGE ASSOCIATED COSTS</w:t>
      </w:r>
    </w:p>
    <w:p w14:paraId="6C9E0CF5" w14:textId="0B1C861B" w:rsidR="00CB1A07" w:rsidRPr="002D5F66" w:rsidRDefault="00724A0B" w:rsidP="00075CC9">
      <w:pPr>
        <w:pStyle w:val="ListParagraph"/>
        <w:numPr>
          <w:ilvl w:val="1"/>
          <w:numId w:val="5"/>
        </w:numPr>
      </w:pPr>
      <w:r>
        <w:t>T</w:t>
      </w:r>
      <w:r w:rsidR="00CB1A07" w:rsidRPr="002D5F66">
        <w:t xml:space="preserve">he Race Committee may require a </w:t>
      </w:r>
      <w:r w:rsidR="007C6536">
        <w:t xml:space="preserve">team to make an intermediate </w:t>
      </w:r>
      <w:r w:rsidR="00CB1A07" w:rsidRPr="002D5F66">
        <w:t>payment</w:t>
      </w:r>
      <w:r w:rsidR="007275C4">
        <w:t>, to the amount defined in this attachment;</w:t>
      </w:r>
      <w:r w:rsidR="00075CC9">
        <w:t xml:space="preserve"> against allocated damage costs</w:t>
      </w:r>
      <w:r w:rsidR="007C6536">
        <w:t xml:space="preserve"> before </w:t>
      </w:r>
      <w:r w:rsidR="00075CC9">
        <w:t xml:space="preserve">the team may </w:t>
      </w:r>
      <w:r w:rsidR="007C6536">
        <w:t>sail</w:t>
      </w:r>
      <w:r>
        <w:t xml:space="preserve"> another event boat.</w:t>
      </w:r>
    </w:p>
    <w:p w14:paraId="0663F6D0" w14:textId="4428BDD5" w:rsidR="00CB1A07" w:rsidRPr="002D5F66" w:rsidRDefault="00CB1A07" w:rsidP="00CB1A07">
      <w:pPr>
        <w:pStyle w:val="ListParagraph"/>
        <w:numPr>
          <w:ilvl w:val="1"/>
          <w:numId w:val="5"/>
        </w:numPr>
      </w:pPr>
      <w:r w:rsidRPr="002D5F66">
        <w:t xml:space="preserve">If a </w:t>
      </w:r>
      <w:r w:rsidR="007657AE">
        <w:t>team</w:t>
      </w:r>
      <w:r w:rsidR="007657AE" w:rsidRPr="002D5F66">
        <w:t xml:space="preserve"> </w:t>
      </w:r>
      <w:r w:rsidRPr="002D5F66">
        <w:t xml:space="preserve">is </w:t>
      </w:r>
      <w:r w:rsidR="00724A0B">
        <w:t>allocated</w:t>
      </w:r>
      <w:r w:rsidRPr="002D5F66">
        <w:t xml:space="preserve"> damage </w:t>
      </w:r>
      <w:r w:rsidR="00075CC9">
        <w:t xml:space="preserve">associated </w:t>
      </w:r>
      <w:r w:rsidRPr="002D5F66">
        <w:t xml:space="preserve">costs, and these are not paid at the event, the </w:t>
      </w:r>
      <w:r w:rsidR="007C6536">
        <w:t xml:space="preserve">Organising </w:t>
      </w:r>
      <w:r w:rsidR="001B0397">
        <w:t>Authority</w:t>
      </w:r>
      <w:r w:rsidRPr="002D5F66">
        <w:t xml:space="preserve"> will issue an invoice to the </w:t>
      </w:r>
      <w:r w:rsidR="007657AE">
        <w:t>team</w:t>
      </w:r>
      <w:r w:rsidRPr="002D5F66">
        <w:t xml:space="preserve">. Invoices must be paid (without set off or deduction) within 14 days unless an extension is agreed with the Organising </w:t>
      </w:r>
      <w:r w:rsidR="001B0397">
        <w:t>Authority</w:t>
      </w:r>
      <w:r w:rsidRPr="002D5F66">
        <w:t>.</w:t>
      </w:r>
    </w:p>
    <w:p w14:paraId="0CCBCE78" w14:textId="3A83A75C" w:rsidR="000B2D00" w:rsidRPr="002D5F66" w:rsidRDefault="6A6A9DF6" w:rsidP="000B2D00">
      <w:pPr>
        <w:pStyle w:val="ListParagraph"/>
        <w:numPr>
          <w:ilvl w:val="1"/>
          <w:numId w:val="5"/>
        </w:numPr>
      </w:pPr>
      <w:r>
        <w:t xml:space="preserve">Failure to comply with a damage invoice within 14 days (or any extension period) is a breach of this agreement and the Organising </w:t>
      </w:r>
      <w:r w:rsidR="001B0397">
        <w:t>Authority</w:t>
      </w:r>
      <w:r>
        <w:t xml:space="preserve"> may:</w:t>
      </w:r>
    </w:p>
    <w:p w14:paraId="31CD75D0" w14:textId="2FF956C7" w:rsidR="000B2D00" w:rsidRDefault="000B2D00" w:rsidP="00CB1A07">
      <w:pPr>
        <w:pStyle w:val="ListParagraph"/>
        <w:numPr>
          <w:ilvl w:val="2"/>
          <w:numId w:val="5"/>
        </w:numPr>
      </w:pPr>
      <w:r>
        <w:t>add an administrative fee of £30 per invoice</w:t>
      </w:r>
      <w:r w:rsidR="00E93AF7">
        <w:t xml:space="preserve"> for the increased work load of chasing payment;</w:t>
      </w:r>
    </w:p>
    <w:p w14:paraId="295F66B7" w14:textId="77777777" w:rsidR="00E93AF7" w:rsidRDefault="00E93AF7" w:rsidP="00E93AF7">
      <w:pPr>
        <w:pStyle w:val="ListParagraph"/>
        <w:numPr>
          <w:ilvl w:val="2"/>
          <w:numId w:val="5"/>
        </w:numPr>
      </w:pPr>
      <w:r w:rsidRPr="002D5F66">
        <w:t>disqualify the team in question without</w:t>
      </w:r>
      <w:bookmarkStart w:id="0" w:name="_GoBack"/>
      <w:bookmarkEnd w:id="0"/>
      <w:r w:rsidRPr="002D5F66">
        <w:t xml:space="preserve"> a hearing, this changes RRS 63.1;</w:t>
      </w:r>
    </w:p>
    <w:p w14:paraId="3457DA53" w14:textId="6248728D" w:rsidR="00E93AF7" w:rsidRPr="002D5F66" w:rsidRDefault="00E93AF7" w:rsidP="00CB1A07">
      <w:pPr>
        <w:pStyle w:val="ListParagraph"/>
        <w:numPr>
          <w:ilvl w:val="2"/>
          <w:numId w:val="5"/>
        </w:numPr>
      </w:pPr>
      <w:r>
        <w:t>report the team members to the PC for investigation under RRS 69</w:t>
      </w:r>
    </w:p>
    <w:p w14:paraId="13D746CA" w14:textId="65D95FB2" w:rsidR="00CB1A07" w:rsidRDefault="6A6A9DF6" w:rsidP="00CB1A07">
      <w:pPr>
        <w:pStyle w:val="ListParagraph"/>
        <w:numPr>
          <w:ilvl w:val="2"/>
          <w:numId w:val="5"/>
        </w:numPr>
      </w:pPr>
      <w:r>
        <w:t>reject any future entries from the Club; Skipper; or crew</w:t>
      </w:r>
      <w:r w:rsidR="00AD3C88">
        <w:t xml:space="preserve"> in British Keelboat League Association linked events.</w:t>
      </w:r>
    </w:p>
    <w:p w14:paraId="46DDE425" w14:textId="14AC1BAB" w:rsidR="00AD3C88" w:rsidRPr="002D5F66" w:rsidRDefault="00AD3C88" w:rsidP="00CB1A07">
      <w:pPr>
        <w:pStyle w:val="ListParagraph"/>
        <w:numPr>
          <w:ilvl w:val="2"/>
          <w:numId w:val="5"/>
        </w:numPr>
      </w:pPr>
      <w:r>
        <w:t>Report the team to the British Keelboat League Association, their clubs and the RYA</w:t>
      </w:r>
    </w:p>
    <w:p w14:paraId="77D9291E" w14:textId="4E192979" w:rsidR="00677134" w:rsidRPr="005E6D30" w:rsidRDefault="00CB1A07" w:rsidP="00E93AF7">
      <w:pPr>
        <w:spacing w:before="120"/>
        <w:rPr>
          <w:rFonts w:ascii="Arial" w:hAnsi="Arial" w:cs="Arial"/>
          <w:sz w:val="20"/>
        </w:rPr>
      </w:pPr>
      <w:r w:rsidRPr="002D5F66">
        <w:t>The Organising Authority may amend or cancel a damage notice at any time and may reinstate a team disqualified.</w:t>
      </w:r>
      <w:r w:rsidR="00677134" w:rsidRPr="00677134">
        <w:rPr>
          <w:rFonts w:ascii="Arial" w:hAnsi="Arial" w:cs="Arial"/>
          <w:b/>
          <w:sz w:val="20"/>
        </w:rPr>
        <w:t xml:space="preserve"> </w:t>
      </w:r>
    </w:p>
    <w:sectPr w:rsidR="00677134" w:rsidRPr="005E6D30" w:rsidSect="00CB1A0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2A869" w14:textId="77777777" w:rsidR="00D02E99" w:rsidRDefault="00D02E99" w:rsidP="009B0E09">
      <w:pPr>
        <w:spacing w:after="0" w:line="240" w:lineRule="auto"/>
      </w:pPr>
      <w:r>
        <w:separator/>
      </w:r>
    </w:p>
  </w:endnote>
  <w:endnote w:type="continuationSeparator" w:id="0">
    <w:p w14:paraId="2D2EED05" w14:textId="77777777" w:rsidR="00D02E99" w:rsidRDefault="00D02E99" w:rsidP="009B0E09">
      <w:pPr>
        <w:spacing w:after="0" w:line="240" w:lineRule="auto"/>
      </w:pPr>
      <w:r>
        <w:continuationSeparator/>
      </w:r>
    </w:p>
  </w:endnote>
  <w:endnote w:type="continuationNotice" w:id="1">
    <w:p w14:paraId="63E8BC5C" w14:textId="77777777" w:rsidR="00D02E99" w:rsidRDefault="00D02E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58D1E" w14:textId="4F3FEFE4" w:rsidR="00DA6B54" w:rsidRPr="00AD3C88" w:rsidRDefault="00A37D3C" w:rsidP="00AD3C88">
    <w:r>
      <w:rPr>
        <w:rFonts w:ascii="Calibri" w:eastAsia="Calibri" w:hAnsi="Calibri" w:cs="Calibri"/>
        <w:color w:val="000000"/>
        <w:sz w:val="18"/>
        <w:szCs w:val="18"/>
      </w:rPr>
      <w:t>Version 1.0</w:t>
    </w:r>
    <w:r w:rsidR="00AD3C88">
      <w:rPr>
        <w:rFonts w:ascii="Calibri" w:eastAsia="Calibri" w:hAnsi="Calibri" w:cs="Calibri"/>
        <w:color w:val="000000"/>
        <w:sz w:val="18"/>
        <w:szCs w:val="18"/>
      </w:rPr>
      <w:t xml:space="preserve"> 0</w:t>
    </w:r>
    <w:r>
      <w:rPr>
        <w:rFonts w:ascii="Calibri" w:eastAsia="Calibri" w:hAnsi="Calibri" w:cs="Calibri"/>
        <w:color w:val="000000"/>
        <w:sz w:val="18"/>
        <w:szCs w:val="18"/>
      </w:rPr>
      <w:t>8</w:t>
    </w:r>
    <w:r w:rsidR="00AD3C88">
      <w:rPr>
        <w:rFonts w:ascii="Calibri" w:eastAsia="Calibri" w:hAnsi="Calibri" w:cs="Calibri"/>
        <w:color w:val="000000"/>
        <w:sz w:val="18"/>
        <w:szCs w:val="18"/>
      </w:rPr>
      <w:t>/03/2023</w:t>
    </w:r>
    <w:r w:rsidR="00AD3C88">
      <w:rPr>
        <w:rFonts w:ascii="Calibri" w:eastAsia="Calibri" w:hAnsi="Calibri" w:cs="Calibri"/>
        <w:color w:val="000000"/>
        <w:sz w:val="18"/>
        <w:szCs w:val="18"/>
      </w:rPr>
      <w:ptab w:relativeTo="margin" w:alignment="right" w:leader="none"/>
    </w:r>
    <w:r w:rsidR="00AD3C88" w:rsidRPr="00E83669">
      <w:rPr>
        <w:rFonts w:ascii="Calibri" w:eastAsia="Calibri" w:hAnsi="Calibri" w:cs="Calibri"/>
        <w:color w:val="000000"/>
        <w:sz w:val="18"/>
        <w:szCs w:val="18"/>
        <w:shd w:val="clear" w:color="auto" w:fill="E6E6E6"/>
      </w:rPr>
      <w:fldChar w:fldCharType="begin"/>
    </w:r>
    <w:r w:rsidR="00AD3C88" w:rsidRPr="00E83669">
      <w:rPr>
        <w:rFonts w:ascii="Calibri" w:eastAsia="Calibri" w:hAnsi="Calibri" w:cs="Calibri"/>
        <w:color w:val="000000"/>
        <w:sz w:val="18"/>
        <w:szCs w:val="18"/>
      </w:rPr>
      <w:instrText xml:space="preserve"> PAGE   \* MERGEFORMAT </w:instrText>
    </w:r>
    <w:r w:rsidR="00AD3C88" w:rsidRPr="00E83669">
      <w:rPr>
        <w:rFonts w:ascii="Calibri" w:eastAsia="Calibri" w:hAnsi="Calibri" w:cs="Calibri"/>
        <w:color w:val="000000"/>
        <w:sz w:val="18"/>
        <w:szCs w:val="18"/>
        <w:shd w:val="clear" w:color="auto" w:fill="E6E6E6"/>
      </w:rPr>
      <w:fldChar w:fldCharType="separate"/>
    </w:r>
    <w:r>
      <w:rPr>
        <w:rFonts w:ascii="Calibri" w:eastAsia="Calibri" w:hAnsi="Calibri" w:cs="Calibri"/>
        <w:noProof/>
        <w:color w:val="000000"/>
        <w:sz w:val="18"/>
        <w:szCs w:val="18"/>
      </w:rPr>
      <w:t>2</w:t>
    </w:r>
    <w:r w:rsidR="00AD3C88" w:rsidRPr="00E83669">
      <w:rPr>
        <w:rFonts w:ascii="Calibri" w:eastAsia="Calibri" w:hAnsi="Calibri" w:cs="Calibri"/>
        <w:color w:val="000000"/>
        <w:sz w:val="18"/>
        <w:szCs w:val="18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27EC" w14:textId="31A12201" w:rsidR="00CB1A07" w:rsidRDefault="00A37D3C" w:rsidP="00CB1A07">
    <w:r>
      <w:rPr>
        <w:rFonts w:ascii="Calibri" w:eastAsia="Calibri" w:hAnsi="Calibri" w:cs="Calibri"/>
        <w:color w:val="000000"/>
        <w:sz w:val="18"/>
        <w:szCs w:val="18"/>
      </w:rPr>
      <w:t>Version 1.0 08</w:t>
    </w:r>
    <w:r w:rsidR="00AD3C88">
      <w:rPr>
        <w:rFonts w:ascii="Calibri" w:eastAsia="Calibri" w:hAnsi="Calibri" w:cs="Calibri"/>
        <w:color w:val="000000"/>
        <w:sz w:val="18"/>
        <w:szCs w:val="18"/>
      </w:rPr>
      <w:t>/03/2023</w:t>
    </w:r>
    <w:r w:rsidR="00CB1A07">
      <w:rPr>
        <w:rFonts w:ascii="Calibri" w:eastAsia="Calibri" w:hAnsi="Calibri" w:cs="Calibri"/>
        <w:color w:val="000000"/>
        <w:sz w:val="18"/>
        <w:szCs w:val="18"/>
      </w:rPr>
      <w:ptab w:relativeTo="margin" w:alignment="right" w:leader="none"/>
    </w:r>
    <w:r w:rsidR="00CB1A07" w:rsidRPr="00E83669">
      <w:rPr>
        <w:rFonts w:ascii="Calibri" w:eastAsia="Calibri" w:hAnsi="Calibri" w:cs="Calibri"/>
        <w:color w:val="000000"/>
        <w:sz w:val="18"/>
        <w:szCs w:val="18"/>
        <w:shd w:val="clear" w:color="auto" w:fill="E6E6E6"/>
      </w:rPr>
      <w:fldChar w:fldCharType="begin"/>
    </w:r>
    <w:r w:rsidR="00CB1A07" w:rsidRPr="00E83669">
      <w:rPr>
        <w:rFonts w:ascii="Calibri" w:eastAsia="Calibri" w:hAnsi="Calibri" w:cs="Calibri"/>
        <w:color w:val="000000"/>
        <w:sz w:val="18"/>
        <w:szCs w:val="18"/>
      </w:rPr>
      <w:instrText xml:space="preserve"> PAGE   \* MERGEFORMAT </w:instrText>
    </w:r>
    <w:r w:rsidR="00CB1A07" w:rsidRPr="00E83669">
      <w:rPr>
        <w:rFonts w:ascii="Calibri" w:eastAsia="Calibri" w:hAnsi="Calibri" w:cs="Calibri"/>
        <w:color w:val="000000"/>
        <w:sz w:val="18"/>
        <w:szCs w:val="18"/>
        <w:shd w:val="clear" w:color="auto" w:fill="E6E6E6"/>
      </w:rPr>
      <w:fldChar w:fldCharType="separate"/>
    </w:r>
    <w:r>
      <w:rPr>
        <w:rFonts w:ascii="Calibri" w:eastAsia="Calibri" w:hAnsi="Calibri" w:cs="Calibri"/>
        <w:noProof/>
        <w:color w:val="000000"/>
        <w:sz w:val="18"/>
        <w:szCs w:val="18"/>
      </w:rPr>
      <w:t>1</w:t>
    </w:r>
    <w:r w:rsidR="00CB1A07" w:rsidRPr="00E83669">
      <w:rPr>
        <w:rFonts w:ascii="Calibri" w:eastAsia="Calibri" w:hAnsi="Calibri" w:cs="Calibri"/>
        <w:color w:val="000000"/>
        <w:sz w:val="18"/>
        <w:szCs w:val="18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BDA2" w14:textId="77777777" w:rsidR="00D02E99" w:rsidRDefault="00D02E99" w:rsidP="009B0E09">
      <w:pPr>
        <w:spacing w:after="0" w:line="240" w:lineRule="auto"/>
      </w:pPr>
      <w:r>
        <w:separator/>
      </w:r>
    </w:p>
  </w:footnote>
  <w:footnote w:type="continuationSeparator" w:id="0">
    <w:p w14:paraId="1164D144" w14:textId="77777777" w:rsidR="00D02E99" w:rsidRDefault="00D02E99" w:rsidP="009B0E09">
      <w:pPr>
        <w:spacing w:after="0" w:line="240" w:lineRule="auto"/>
      </w:pPr>
      <w:r>
        <w:continuationSeparator/>
      </w:r>
    </w:p>
  </w:footnote>
  <w:footnote w:type="continuationNotice" w:id="1">
    <w:p w14:paraId="5EF674C4" w14:textId="77777777" w:rsidR="00D02E99" w:rsidRDefault="00D02E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2FEFF" w14:textId="557CD688" w:rsidR="009B0E09" w:rsidRPr="00DA6B54" w:rsidRDefault="00750E1C" w:rsidP="007539C2">
    <w:pPr>
      <w:pStyle w:val="Heading3"/>
      <w:pBdr>
        <w:bottom w:val="single" w:sz="4" w:space="1" w:color="7F7F7F" w:themeColor="text1" w:themeTint="80"/>
      </w:pBdr>
      <w:spacing w:after="240"/>
    </w:pPr>
    <w:r>
      <w:t>Attachment X</w:t>
    </w:r>
    <w:r w:rsidR="00DA6B54" w:rsidRPr="00DA6B54">
      <w:t xml:space="preserve"> - British Keelboat League 202</w:t>
    </w:r>
    <w:r w:rsidR="00AD3C88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822B3" w14:textId="2DAFED2E" w:rsidR="00DA6B54" w:rsidRDefault="00DA6B54" w:rsidP="00DA6B54">
    <w:pPr>
      <w:pStyle w:val="Title"/>
      <w:rPr>
        <w:rFonts w:asciiTheme="minorHAnsi" w:hAnsiTheme="minorHAnsi" w:cstheme="minorHAnsi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60E2A7B3" wp14:editId="72485637">
          <wp:simplePos x="0" y="0"/>
          <wp:positionH relativeFrom="page">
            <wp:posOffset>5281245</wp:posOffset>
          </wp:positionH>
          <wp:positionV relativeFrom="page">
            <wp:posOffset>449029</wp:posOffset>
          </wp:positionV>
          <wp:extent cx="1749600" cy="9360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6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E1C">
      <w:rPr>
        <w:noProof/>
        <w:color w:val="2B579A"/>
        <w:shd w:val="clear" w:color="auto" w:fill="E6E6E6"/>
      </w:rPr>
      <w:t>Attachment X - Damage</w:t>
    </w:r>
  </w:p>
  <w:p w14:paraId="73B9C9FF" w14:textId="5C90B8B4" w:rsidR="00DA6B54" w:rsidRPr="00DA6B54" w:rsidRDefault="00DA6B54" w:rsidP="00DA6B54">
    <w:pPr>
      <w:pStyle w:val="Heading1"/>
      <w:spacing w:before="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British Keelboat League 202</w:t>
    </w:r>
    <w:r w:rsidR="00AD3C88">
      <w:rPr>
        <w:rFonts w:asciiTheme="minorHAnsi" w:hAnsiTheme="minorHAnsi" w:cstheme="minorHAn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nothing"/>
      <w:lvlText w:val="10.%2."/>
      <w:lvlJc w:val="left"/>
      <w:pPr>
        <w:ind w:left="1440" w:hanging="360"/>
      </w:pPr>
    </w:lvl>
    <w:lvl w:ilvl="2">
      <w:start w:val="7"/>
      <w:numFmt w:val="lowerRoman"/>
      <w:lvlText w:val="10.%2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F3D6F"/>
    <w:multiLevelType w:val="multilevel"/>
    <w:tmpl w:val="396C3DA6"/>
    <w:lvl w:ilvl="0">
      <w:start w:val="1"/>
      <w:numFmt w:val="decimal"/>
      <w:pStyle w:val="List-1"/>
      <w:suff w:val="space"/>
      <w:lvlText w:val="A%1."/>
      <w:lvlJc w:val="left"/>
      <w:pPr>
        <w:ind w:left="360" w:hanging="360"/>
      </w:pPr>
    </w:lvl>
    <w:lvl w:ilvl="1">
      <w:start w:val="1"/>
      <w:numFmt w:val="decimal"/>
      <w:suff w:val="space"/>
      <w:lvlText w:val="A%1.%2."/>
      <w:lvlJc w:val="left"/>
      <w:pPr>
        <w:ind w:left="508" w:hanging="432"/>
      </w:pPr>
    </w:lvl>
    <w:lvl w:ilvl="2">
      <w:start w:val="1"/>
      <w:numFmt w:val="lowerLetter"/>
      <w:suff w:val="space"/>
      <w:lvlText w:val="(%3)"/>
      <w:lvlJc w:val="left"/>
      <w:pPr>
        <w:ind w:left="340" w:hanging="170"/>
      </w:pPr>
    </w:lvl>
    <w:lvl w:ilvl="3">
      <w:start w:val="1"/>
      <w:numFmt w:val="lowerRoman"/>
      <w:suff w:val="space"/>
      <w:lvlText w:val="%4."/>
      <w:lvlJc w:val="left"/>
      <w:pPr>
        <w:ind w:left="1134" w:hanging="33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3" w15:restartNumberingAfterBreak="0">
    <w:nsid w:val="225B2473"/>
    <w:multiLevelType w:val="multilevel"/>
    <w:tmpl w:val="09A8D4DA"/>
    <w:lvl w:ilvl="0">
      <w:start w:val="1"/>
      <w:numFmt w:val="decimal"/>
      <w:suff w:val="space"/>
      <w:lvlText w:val="X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X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suff w:val="space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1A32BB5"/>
    <w:multiLevelType w:val="hybridMultilevel"/>
    <w:tmpl w:val="B718A74E"/>
    <w:lvl w:ilvl="0" w:tplc="89DE74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86969"/>
    <w:multiLevelType w:val="multilevel"/>
    <w:tmpl w:val="09A8D4DA"/>
    <w:lvl w:ilvl="0">
      <w:start w:val="1"/>
      <w:numFmt w:val="decimal"/>
      <w:suff w:val="space"/>
      <w:lvlText w:val="X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X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suff w:val="space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B77638C"/>
    <w:multiLevelType w:val="hybridMultilevel"/>
    <w:tmpl w:val="6BF63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09"/>
    <w:rsid w:val="0002292B"/>
    <w:rsid w:val="000559AF"/>
    <w:rsid w:val="00072452"/>
    <w:rsid w:val="00075CC9"/>
    <w:rsid w:val="000A2D45"/>
    <w:rsid w:val="000B2D00"/>
    <w:rsid w:val="001006EE"/>
    <w:rsid w:val="00111DC9"/>
    <w:rsid w:val="00126347"/>
    <w:rsid w:val="0015165E"/>
    <w:rsid w:val="0016037A"/>
    <w:rsid w:val="00166585"/>
    <w:rsid w:val="00170A2E"/>
    <w:rsid w:val="00171105"/>
    <w:rsid w:val="001B0397"/>
    <w:rsid w:val="001C053E"/>
    <w:rsid w:val="00203EA1"/>
    <w:rsid w:val="00225A19"/>
    <w:rsid w:val="00237087"/>
    <w:rsid w:val="00254DCB"/>
    <w:rsid w:val="00270514"/>
    <w:rsid w:val="00295ABF"/>
    <w:rsid w:val="002D3162"/>
    <w:rsid w:val="002D5F66"/>
    <w:rsid w:val="002F0A97"/>
    <w:rsid w:val="00324F6C"/>
    <w:rsid w:val="00330826"/>
    <w:rsid w:val="003516C3"/>
    <w:rsid w:val="003D03BB"/>
    <w:rsid w:val="004F2F53"/>
    <w:rsid w:val="00577E7E"/>
    <w:rsid w:val="005E0A4C"/>
    <w:rsid w:val="00632151"/>
    <w:rsid w:val="00677134"/>
    <w:rsid w:val="006A75E8"/>
    <w:rsid w:val="006B5A0F"/>
    <w:rsid w:val="006C78B5"/>
    <w:rsid w:val="006F0C87"/>
    <w:rsid w:val="006F64C6"/>
    <w:rsid w:val="00724A0B"/>
    <w:rsid w:val="007275C4"/>
    <w:rsid w:val="0074239B"/>
    <w:rsid w:val="00750E1C"/>
    <w:rsid w:val="007539C2"/>
    <w:rsid w:val="0076395D"/>
    <w:rsid w:val="007657AE"/>
    <w:rsid w:val="007C6536"/>
    <w:rsid w:val="007C6901"/>
    <w:rsid w:val="007D16C9"/>
    <w:rsid w:val="00813299"/>
    <w:rsid w:val="00840856"/>
    <w:rsid w:val="0088152E"/>
    <w:rsid w:val="008C1260"/>
    <w:rsid w:val="00974586"/>
    <w:rsid w:val="009A7793"/>
    <w:rsid w:val="009B0E09"/>
    <w:rsid w:val="009B2D29"/>
    <w:rsid w:val="009B7ADD"/>
    <w:rsid w:val="009F6BBD"/>
    <w:rsid w:val="00A37D3C"/>
    <w:rsid w:val="00A7255C"/>
    <w:rsid w:val="00AB5313"/>
    <w:rsid w:val="00AD3C88"/>
    <w:rsid w:val="00AE2BB3"/>
    <w:rsid w:val="00B15A08"/>
    <w:rsid w:val="00B71AC9"/>
    <w:rsid w:val="00BB1329"/>
    <w:rsid w:val="00BE4E2F"/>
    <w:rsid w:val="00C851F9"/>
    <w:rsid w:val="00C944CA"/>
    <w:rsid w:val="00CB1A07"/>
    <w:rsid w:val="00CB1ACF"/>
    <w:rsid w:val="00D02E99"/>
    <w:rsid w:val="00DA0A4C"/>
    <w:rsid w:val="00DA6B54"/>
    <w:rsid w:val="00E23B63"/>
    <w:rsid w:val="00E27A07"/>
    <w:rsid w:val="00E6471D"/>
    <w:rsid w:val="00E93AF7"/>
    <w:rsid w:val="00E96C4D"/>
    <w:rsid w:val="00EB2577"/>
    <w:rsid w:val="00EB2F2E"/>
    <w:rsid w:val="00F376F7"/>
    <w:rsid w:val="00FB5B07"/>
    <w:rsid w:val="014C890F"/>
    <w:rsid w:val="0BEB94C2"/>
    <w:rsid w:val="0BF98F48"/>
    <w:rsid w:val="16D2C09B"/>
    <w:rsid w:val="186E90FC"/>
    <w:rsid w:val="18B26230"/>
    <w:rsid w:val="1A0A615D"/>
    <w:rsid w:val="1BA631BE"/>
    <w:rsid w:val="1D73D800"/>
    <w:rsid w:val="1DD3C198"/>
    <w:rsid w:val="24D751B2"/>
    <w:rsid w:val="25ADFD83"/>
    <w:rsid w:val="4292D6EF"/>
    <w:rsid w:val="4374AE8F"/>
    <w:rsid w:val="549EA487"/>
    <w:rsid w:val="555A30AE"/>
    <w:rsid w:val="641AC574"/>
    <w:rsid w:val="67E631F5"/>
    <w:rsid w:val="6A6A9DF6"/>
    <w:rsid w:val="74EB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550BC"/>
  <w15:chartTrackingRefBased/>
  <w15:docId w15:val="{1E338DBF-FBE7-4F06-888B-54E7DAD5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E09"/>
    <w:pPr>
      <w:keepNext/>
      <w:keepLines/>
      <w:spacing w:before="240" w:after="0" w:line="264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E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1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E09"/>
  </w:style>
  <w:style w:type="paragraph" w:styleId="Footer">
    <w:name w:val="footer"/>
    <w:basedOn w:val="Normal"/>
    <w:link w:val="FooterChar"/>
    <w:uiPriority w:val="99"/>
    <w:unhideWhenUsed/>
    <w:rsid w:val="009B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E09"/>
  </w:style>
  <w:style w:type="paragraph" w:styleId="Title">
    <w:name w:val="Title"/>
    <w:basedOn w:val="Normal"/>
    <w:next w:val="Normal"/>
    <w:link w:val="TitleChar"/>
    <w:uiPriority w:val="10"/>
    <w:qFormat/>
    <w:rsid w:val="009B0E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9B0E0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B0E0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B0E09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1F9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customStyle="1" w:styleId="List-1">
    <w:name w:val="List - 1"/>
    <w:basedOn w:val="Heading3"/>
    <w:qFormat/>
    <w:rsid w:val="00C851F9"/>
    <w:pPr>
      <w:numPr>
        <w:numId w:val="2"/>
      </w:numPr>
      <w:tabs>
        <w:tab w:val="left" w:pos="709"/>
      </w:tabs>
      <w:spacing w:before="20" w:line="240" w:lineRule="auto"/>
      <w:jc w:val="both"/>
    </w:pPr>
    <w:rPr>
      <w:rFonts w:ascii="Calibri Light" w:eastAsia="Times New Roman" w:hAnsi="Calibri Light" w:cs="Arial"/>
      <w:color w:val="44546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5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1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D5F6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F6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F6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CB1A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1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3EA1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713DD537B47469DEABE41BDACFE58" ma:contentTypeVersion="6" ma:contentTypeDescription="Create a new document." ma:contentTypeScope="" ma:versionID="302a8a5c1212a383da8c7c1bd3254867">
  <xsd:schema xmlns:xsd="http://www.w3.org/2001/XMLSchema" xmlns:xs="http://www.w3.org/2001/XMLSchema" xmlns:p="http://schemas.microsoft.com/office/2006/metadata/properties" xmlns:ns2="9b248610-c8a3-4971-bfe2-72b6b67284d5" xmlns:ns3="620dcf80-fa43-402a-be51-d65304bcf656" targetNamespace="http://schemas.microsoft.com/office/2006/metadata/properties" ma:root="true" ma:fieldsID="9fab3dfda724b20400583fee845b17fb" ns2:_="" ns3:_="">
    <xsd:import namespace="9b248610-c8a3-4971-bfe2-72b6b67284d5"/>
    <xsd:import namespace="620dcf80-fa43-402a-be51-d65304bcf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48610-c8a3-4971-bfe2-72b6b6728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dcf80-fa43-402a-be51-d65304bcf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63C18-119F-46AC-A900-D9C2C9FE7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48610-c8a3-4971-bfe2-72b6b67284d5"/>
    <ds:schemaRef ds:uri="620dcf80-fa43-402a-be51-d65304bcf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592B0-EBE7-48BD-84FE-083E42E39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FE4EF-109E-4631-B9DD-F6D0FCC7CFB3}">
  <ds:schemaRefs>
    <ds:schemaRef ds:uri="http://schemas.microsoft.com/office/infopath/2007/PartnerControls"/>
    <ds:schemaRef ds:uri="9b248610-c8a3-4971-bfe2-72b6b67284d5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620dcf80-fa43-402a-be51-d65304bcf656"/>
  </ds:schemaRefs>
</ds:datastoreItem>
</file>

<file path=customXml/itemProps4.xml><?xml version="1.0" encoding="utf-8"?>
<ds:datastoreItem xmlns:ds="http://schemas.openxmlformats.org/officeDocument/2006/customXml" ds:itemID="{F58149BB-8559-4993-85B7-0BAD9728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Sammons</dc:creator>
  <cp:keywords/>
  <dc:description/>
  <cp:lastModifiedBy>Paul Robson</cp:lastModifiedBy>
  <cp:revision>50</cp:revision>
  <dcterms:created xsi:type="dcterms:W3CDTF">2021-01-28T10:34:00Z</dcterms:created>
  <dcterms:modified xsi:type="dcterms:W3CDTF">2023-03-08T09:20:00Z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0x010100113713DD537B47469DEABE41BDACFE58</vt:lpwstr>
  </property>
</Properties>
</file>